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10E37B92" w14:textId="055018DA" w:rsidR="00336542" w:rsidRDefault="009D2CAF">
      <w:pPr>
        <w:pStyle w:val="TOC1"/>
        <w:rPr>
          <w:rFonts w:asciiTheme="minorHAnsi" w:eastAsiaTheme="minorEastAsia" w:hAnsiTheme="minorHAnsi" w:cstheme="minorBidi"/>
          <w:b w:val="0"/>
          <w:caps w:val="0"/>
          <w:noProof/>
          <w:kern w:val="2"/>
          <w:sz w:val="22"/>
          <w:szCs w:val="22"/>
          <w:lang w:val="en-IE" w:eastAsia="en-IE"/>
          <w14:ligatures w14:val="standardContextual"/>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Theme="minorHAnsi" w:eastAsiaTheme="minorEastAsia" w:hAnsiTheme="minorHAnsi" w:cstheme="minorBidi"/>
          <w:b w:val="0"/>
          <w:caps w:val="0"/>
          <w:noProof/>
          <w:kern w:val="2"/>
          <w:sz w:val="22"/>
          <w:szCs w:val="22"/>
          <w:lang w:val="en-IE" w:eastAsia="en-IE"/>
          <w14:ligatures w14:val="standardContextual"/>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1.1.</w:t>
      </w:r>
      <w:r>
        <w:rPr>
          <w:rFonts w:asciiTheme="minorHAnsi" w:eastAsiaTheme="minorEastAsia" w:hAnsiTheme="minorHAnsi" w:cstheme="minorBidi"/>
          <w:noProof/>
          <w:kern w:val="2"/>
          <w:szCs w:val="22"/>
          <w:lang w:val="en-IE" w:eastAsia="en-IE"/>
          <w14:ligatures w14:val="standardContextual"/>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1.2.</w:t>
      </w:r>
      <w:r>
        <w:rPr>
          <w:rFonts w:asciiTheme="minorHAnsi" w:eastAsiaTheme="minorEastAsia" w:hAnsiTheme="minorHAnsi" w:cstheme="minorBidi"/>
          <w:noProof/>
          <w:kern w:val="2"/>
          <w:szCs w:val="22"/>
          <w:lang w:val="en-IE" w:eastAsia="en-IE"/>
          <w14:ligatures w14:val="standardContextual"/>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1.3.</w:t>
      </w:r>
      <w:r>
        <w:rPr>
          <w:rFonts w:asciiTheme="minorHAnsi" w:eastAsiaTheme="minorEastAsia" w:hAnsiTheme="minorHAnsi" w:cstheme="minorBidi"/>
          <w:noProof/>
          <w:kern w:val="2"/>
          <w:szCs w:val="22"/>
          <w:lang w:val="en-IE" w:eastAsia="en-IE"/>
          <w14:ligatures w14:val="standardContextual"/>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1.4.</w:t>
      </w:r>
      <w:r>
        <w:rPr>
          <w:rFonts w:asciiTheme="minorHAnsi" w:eastAsiaTheme="minorEastAsia" w:hAnsiTheme="minorHAnsi" w:cstheme="minorBidi"/>
          <w:noProof/>
          <w:kern w:val="2"/>
          <w:szCs w:val="22"/>
          <w:lang w:val="en-IE" w:eastAsia="en-IE"/>
          <w14:ligatures w14:val="standardContextual"/>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1.5.</w:t>
      </w:r>
      <w:r>
        <w:rPr>
          <w:rFonts w:asciiTheme="minorHAnsi" w:eastAsiaTheme="minorEastAsia" w:hAnsiTheme="minorHAnsi" w:cstheme="minorBidi"/>
          <w:noProof/>
          <w:kern w:val="2"/>
          <w:szCs w:val="22"/>
          <w:lang w:val="en-IE" w:eastAsia="en-IE"/>
          <w14:ligatures w14:val="standardContextual"/>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2.</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2.1.</w:t>
      </w:r>
      <w:r>
        <w:rPr>
          <w:rFonts w:asciiTheme="minorHAnsi" w:eastAsiaTheme="minorEastAsia" w:hAnsiTheme="minorHAnsi" w:cstheme="minorBidi"/>
          <w:noProof/>
          <w:kern w:val="2"/>
          <w:szCs w:val="22"/>
          <w:lang w:val="en-IE" w:eastAsia="en-IE"/>
          <w14:ligatures w14:val="standardContextual"/>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2.2.</w:t>
      </w:r>
      <w:r>
        <w:rPr>
          <w:rFonts w:asciiTheme="minorHAnsi" w:eastAsiaTheme="minorEastAsia" w:hAnsiTheme="minorHAnsi" w:cstheme="minorBidi"/>
          <w:noProof/>
          <w:kern w:val="2"/>
          <w:szCs w:val="22"/>
          <w:lang w:val="en-IE" w:eastAsia="en-IE"/>
          <w14:ligatures w14:val="standardContextual"/>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2.3.</w:t>
      </w:r>
      <w:r>
        <w:rPr>
          <w:rFonts w:asciiTheme="minorHAnsi" w:eastAsiaTheme="minorEastAsia" w:hAnsiTheme="minorHAnsi" w:cstheme="minorBidi"/>
          <w:noProof/>
          <w:kern w:val="2"/>
          <w:szCs w:val="22"/>
          <w:lang w:val="en-IE" w:eastAsia="en-IE"/>
          <w14:ligatures w14:val="standardContextual"/>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3.</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3.1.</w:t>
      </w:r>
      <w:r>
        <w:rPr>
          <w:rFonts w:asciiTheme="minorHAnsi" w:eastAsiaTheme="minorEastAsia" w:hAnsiTheme="minorHAnsi" w:cstheme="minorBidi"/>
          <w:noProof/>
          <w:kern w:val="2"/>
          <w:szCs w:val="22"/>
          <w:lang w:val="en-IE" w:eastAsia="en-IE"/>
          <w14:ligatures w14:val="standardContextual"/>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3.2.</w:t>
      </w:r>
      <w:r>
        <w:rPr>
          <w:rFonts w:asciiTheme="minorHAnsi" w:eastAsiaTheme="minorEastAsia" w:hAnsiTheme="minorHAnsi" w:cstheme="minorBidi"/>
          <w:noProof/>
          <w:kern w:val="2"/>
          <w:szCs w:val="22"/>
          <w:lang w:val="en-IE" w:eastAsia="en-IE"/>
          <w14:ligatures w14:val="standardContextual"/>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4.</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4.1.</w:t>
      </w:r>
      <w:r>
        <w:rPr>
          <w:rFonts w:asciiTheme="minorHAnsi" w:eastAsiaTheme="minorEastAsia" w:hAnsiTheme="minorHAnsi" w:cstheme="minorBidi"/>
          <w:noProof/>
          <w:kern w:val="2"/>
          <w:szCs w:val="22"/>
          <w:lang w:val="en-IE" w:eastAsia="en-IE"/>
          <w14:ligatures w14:val="standardContextual"/>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4.2.</w:t>
      </w:r>
      <w:r>
        <w:rPr>
          <w:rFonts w:asciiTheme="minorHAnsi" w:eastAsiaTheme="minorEastAsia" w:hAnsiTheme="minorHAnsi" w:cstheme="minorBidi"/>
          <w:noProof/>
          <w:kern w:val="2"/>
          <w:szCs w:val="22"/>
          <w:lang w:val="en-IE" w:eastAsia="en-IE"/>
          <w14:ligatures w14:val="standardContextual"/>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4.3.</w:t>
      </w:r>
      <w:r>
        <w:rPr>
          <w:rFonts w:asciiTheme="minorHAnsi" w:eastAsiaTheme="minorEastAsia" w:hAnsiTheme="minorHAnsi" w:cstheme="minorBidi"/>
          <w:noProof/>
          <w:kern w:val="2"/>
          <w:szCs w:val="22"/>
          <w:lang w:val="en-IE" w:eastAsia="en-IE"/>
          <w14:ligatures w14:val="standardContextual"/>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5.</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5.1.</w:t>
      </w:r>
      <w:r>
        <w:rPr>
          <w:rFonts w:asciiTheme="minorHAnsi" w:eastAsiaTheme="minorEastAsia" w:hAnsiTheme="minorHAnsi" w:cstheme="minorBidi"/>
          <w:noProof/>
          <w:kern w:val="2"/>
          <w:szCs w:val="22"/>
          <w:lang w:val="en-IE" w:eastAsia="en-IE"/>
          <w14:ligatures w14:val="standardContextual"/>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5.2.</w:t>
      </w:r>
      <w:r>
        <w:rPr>
          <w:rFonts w:asciiTheme="minorHAnsi" w:eastAsiaTheme="minorEastAsia" w:hAnsiTheme="minorHAnsi" w:cstheme="minorBidi"/>
          <w:noProof/>
          <w:kern w:val="2"/>
          <w:szCs w:val="22"/>
          <w:lang w:val="en-IE" w:eastAsia="en-IE"/>
          <w14:ligatures w14:val="standardContextual"/>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6.</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6.1.</w:t>
      </w:r>
      <w:r>
        <w:rPr>
          <w:rFonts w:asciiTheme="minorHAnsi" w:eastAsiaTheme="minorEastAsia" w:hAnsiTheme="minorHAnsi" w:cstheme="minorBidi"/>
          <w:noProof/>
          <w:kern w:val="2"/>
          <w:szCs w:val="22"/>
          <w:lang w:val="en-IE" w:eastAsia="en-IE"/>
          <w14:ligatures w14:val="standardContextual"/>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6.2.</w:t>
      </w:r>
      <w:r>
        <w:rPr>
          <w:rFonts w:asciiTheme="minorHAnsi" w:eastAsiaTheme="minorEastAsia" w:hAnsiTheme="minorHAnsi" w:cstheme="minorBidi"/>
          <w:noProof/>
          <w:kern w:val="2"/>
          <w:szCs w:val="22"/>
          <w:lang w:val="en-IE" w:eastAsia="en-IE"/>
          <w14:ligatures w14:val="standardContextual"/>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6.3.</w:t>
      </w:r>
      <w:r>
        <w:rPr>
          <w:rFonts w:asciiTheme="minorHAnsi" w:eastAsiaTheme="minorEastAsia" w:hAnsiTheme="minorHAnsi" w:cstheme="minorBidi"/>
          <w:noProof/>
          <w:kern w:val="2"/>
          <w:szCs w:val="22"/>
          <w:lang w:val="en-IE" w:eastAsia="en-IE"/>
          <w14:ligatures w14:val="standardContextual"/>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6.4.</w:t>
      </w:r>
      <w:r>
        <w:rPr>
          <w:rFonts w:asciiTheme="minorHAnsi" w:eastAsiaTheme="minorEastAsia" w:hAnsiTheme="minorHAnsi" w:cstheme="minorBidi"/>
          <w:noProof/>
          <w:kern w:val="2"/>
          <w:szCs w:val="22"/>
          <w:lang w:val="en-IE" w:eastAsia="en-IE"/>
          <w14:ligatures w14:val="standardContextual"/>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7.</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7.1.</w:t>
      </w:r>
      <w:r>
        <w:rPr>
          <w:rFonts w:asciiTheme="minorHAnsi" w:eastAsiaTheme="minorEastAsia" w:hAnsiTheme="minorHAnsi" w:cstheme="minorBidi"/>
          <w:noProof/>
          <w:kern w:val="2"/>
          <w:szCs w:val="22"/>
          <w:lang w:val="en-IE" w:eastAsia="en-IE"/>
          <w14:ligatures w14:val="standardContextual"/>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7.2.</w:t>
      </w:r>
      <w:r>
        <w:rPr>
          <w:rFonts w:asciiTheme="minorHAnsi" w:eastAsiaTheme="minorEastAsia" w:hAnsiTheme="minorHAnsi" w:cstheme="minorBidi"/>
          <w:noProof/>
          <w:kern w:val="2"/>
          <w:szCs w:val="22"/>
          <w:lang w:val="en-IE" w:eastAsia="en-IE"/>
          <w14:ligatures w14:val="standardContextual"/>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8.</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8.1.</w:t>
      </w:r>
      <w:r>
        <w:rPr>
          <w:rFonts w:asciiTheme="minorHAnsi" w:eastAsiaTheme="minorEastAsia" w:hAnsiTheme="minorHAnsi" w:cstheme="minorBidi"/>
          <w:noProof/>
          <w:kern w:val="2"/>
          <w:szCs w:val="22"/>
          <w:lang w:val="en-IE" w:eastAsia="en-IE"/>
          <w14:ligatures w14:val="standardContextual"/>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8.2.</w:t>
      </w:r>
      <w:r>
        <w:rPr>
          <w:rFonts w:asciiTheme="minorHAnsi" w:eastAsiaTheme="minorEastAsia" w:hAnsiTheme="minorHAnsi" w:cstheme="minorBidi"/>
          <w:noProof/>
          <w:kern w:val="2"/>
          <w:szCs w:val="22"/>
          <w:lang w:val="en-IE" w:eastAsia="en-IE"/>
          <w14:ligatures w14:val="standardContextual"/>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336542">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63749B">
        <w:lastRenderedPageBreak/>
        <w:t>BACKGROUND INFORMATION</w:t>
      </w:r>
      <w:bookmarkEnd w:id="0"/>
    </w:p>
    <w:p w14:paraId="383BE81A" w14:textId="77777777" w:rsidR="00D81857" w:rsidRPr="0063749B" w:rsidRDefault="0013060C" w:rsidP="008269FA">
      <w:pPr>
        <w:pStyle w:val="Heading2"/>
      </w:pPr>
      <w:bookmarkStart w:id="1" w:name="_Toc169536354"/>
      <w:r>
        <w:t>Partner country</w:t>
      </w:r>
      <w:bookmarkEnd w:id="1"/>
    </w:p>
    <w:p w14:paraId="6D440B07" w14:textId="7BC41B32"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 </w:t>
      </w:r>
      <w:r w:rsidR="0047055D" w:rsidRPr="0047055D">
        <w:rPr>
          <w:rFonts w:ascii="Times New Roman" w:hAnsi="Times New Roman"/>
          <w:sz w:val="22"/>
          <w:szCs w:val="22"/>
        </w:rPr>
        <w:t>Republic of Serbia</w:t>
      </w:r>
    </w:p>
    <w:p w14:paraId="666806B9" w14:textId="77777777" w:rsidR="00D81857" w:rsidRPr="0063749B" w:rsidRDefault="00D81857" w:rsidP="008269FA">
      <w:pPr>
        <w:pStyle w:val="Heading2"/>
      </w:pPr>
      <w:bookmarkStart w:id="2" w:name="_Toc169536355"/>
      <w:r w:rsidRPr="0063749B">
        <w:t xml:space="preserve">Contracting </w:t>
      </w:r>
      <w:r w:rsidR="00E21553">
        <w:t>a</w:t>
      </w:r>
      <w:r w:rsidRPr="0063749B">
        <w:t>uthority</w:t>
      </w:r>
      <w:bookmarkEnd w:id="2"/>
    </w:p>
    <w:p w14:paraId="3FD6D8B9" w14:textId="4AA33A9B" w:rsidR="00D81857" w:rsidRPr="00B43090" w:rsidRDefault="0047055D" w:rsidP="008D141B">
      <w:pPr>
        <w:rPr>
          <w:rFonts w:ascii="Times New Roman" w:hAnsi="Times New Roman"/>
          <w:sz w:val="22"/>
          <w:szCs w:val="22"/>
          <w:lang w:val="sr-Latn-RS"/>
        </w:rPr>
      </w:pPr>
      <w:r>
        <w:rPr>
          <w:rFonts w:ascii="Times New Roman" w:hAnsi="Times New Roman"/>
          <w:sz w:val="22"/>
          <w:szCs w:val="22"/>
          <w:lang w:val="sr-Latn-RS"/>
        </w:rPr>
        <w:t xml:space="preserve">Institute </w:t>
      </w:r>
      <w:proofErr w:type="spellStart"/>
      <w:r>
        <w:rPr>
          <w:rFonts w:ascii="Times New Roman" w:hAnsi="Times New Roman"/>
          <w:sz w:val="22"/>
          <w:szCs w:val="22"/>
          <w:lang w:val="sr-Latn-RS"/>
        </w:rPr>
        <w:t>for</w:t>
      </w:r>
      <w:proofErr w:type="spellEnd"/>
      <w:r>
        <w:rPr>
          <w:rFonts w:ascii="Times New Roman" w:hAnsi="Times New Roman"/>
          <w:sz w:val="22"/>
          <w:szCs w:val="22"/>
          <w:lang w:val="sr-Latn-RS"/>
        </w:rPr>
        <w:t xml:space="preserve"> </w:t>
      </w:r>
      <w:proofErr w:type="spellStart"/>
      <w:r>
        <w:rPr>
          <w:rFonts w:ascii="Times New Roman" w:hAnsi="Times New Roman"/>
          <w:sz w:val="22"/>
          <w:szCs w:val="22"/>
          <w:lang w:val="sr-Latn-RS"/>
        </w:rPr>
        <w:t>Cross</w:t>
      </w:r>
      <w:proofErr w:type="spellEnd"/>
      <w:r>
        <w:rPr>
          <w:rFonts w:ascii="Times New Roman" w:hAnsi="Times New Roman"/>
          <w:sz w:val="22"/>
          <w:szCs w:val="22"/>
          <w:lang w:val="sr-Latn-RS"/>
        </w:rPr>
        <w:t xml:space="preserve"> </w:t>
      </w:r>
      <w:proofErr w:type="spellStart"/>
      <w:r>
        <w:rPr>
          <w:rFonts w:ascii="Times New Roman" w:hAnsi="Times New Roman"/>
          <w:sz w:val="22"/>
          <w:szCs w:val="22"/>
          <w:lang w:val="sr-Latn-RS"/>
        </w:rPr>
        <w:t>Border</w:t>
      </w:r>
      <w:proofErr w:type="spellEnd"/>
      <w:r>
        <w:rPr>
          <w:rFonts w:ascii="Times New Roman" w:hAnsi="Times New Roman"/>
          <w:sz w:val="22"/>
          <w:szCs w:val="22"/>
          <w:lang w:val="sr-Latn-RS"/>
        </w:rPr>
        <w:t xml:space="preserve"> </w:t>
      </w:r>
      <w:proofErr w:type="spellStart"/>
      <w:r>
        <w:rPr>
          <w:rFonts w:ascii="Times New Roman" w:hAnsi="Times New Roman"/>
          <w:sz w:val="22"/>
          <w:szCs w:val="22"/>
          <w:lang w:val="sr-Latn-RS"/>
        </w:rPr>
        <w:t>Areas</w:t>
      </w:r>
      <w:proofErr w:type="spellEnd"/>
      <w:r w:rsidR="00B43090">
        <w:rPr>
          <w:rFonts w:ascii="Times New Roman" w:hAnsi="Times New Roman"/>
          <w:sz w:val="22"/>
          <w:szCs w:val="22"/>
          <w:lang w:val="sr-Latn-RS"/>
        </w:rPr>
        <w:t xml:space="preserve"> ICBA,</w:t>
      </w:r>
    </w:p>
    <w:p w14:paraId="3045122A" w14:textId="77777777" w:rsidR="00D81857" w:rsidRPr="0063749B" w:rsidRDefault="00A74230" w:rsidP="008269FA">
      <w:pPr>
        <w:pStyle w:val="Heading2"/>
      </w:pPr>
      <w:bookmarkStart w:id="3" w:name="_Toc169536356"/>
      <w:r>
        <w:t>C</w:t>
      </w:r>
      <w:r w:rsidR="00D81857" w:rsidRPr="0063749B">
        <w:t>ountry background</w:t>
      </w:r>
      <w:bookmarkEnd w:id="3"/>
    </w:p>
    <w:p w14:paraId="4DF27F50" w14:textId="77777777" w:rsidR="005D6656"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t>The main joint challenge of the CBC region for 2021-2027 is to leave the group of lagging regions and take on more advanced course of development while still facing persistent risk of poverty and income inequalities issues urged by negative demographic change, underdeveloped CBC regional value chains and entrepreneurship, low technological specialization, unattractive and uncompetitive business setting.</w:t>
      </w:r>
    </w:p>
    <w:p w14:paraId="6B0AF015" w14:textId="77777777" w:rsidR="005D6656"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t>Many people consider decision-making in the EU according to the top-down approach – the so called “product-centric” understanding of the Interreg structure: a pyramid, headed by the EU and trickling down to citizens. In order to achieve effective communication and problem-solving, a shift to the customer-centric approach is needed. The Bulgaria-Serbia Programme 2021-27 has the bottom-up vision, with citizens at the top and the EU at the bottom.</w:t>
      </w:r>
    </w:p>
    <w:p w14:paraId="1DA95589" w14:textId="77777777" w:rsidR="005D6656"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t xml:space="preserve">Multifaceted factors collide and shape the specific context of the CB cooperation at EU external borders. It is impossible for one to shadow the dividing lines on the EU external borders whose particularities can be traced in every policy domain and institutional setting. One such factor is the lasting negative impact of the historically rooted detachment of the two </w:t>
      </w:r>
      <w:proofErr w:type="spellStart"/>
      <w:r w:rsidRPr="005D6656">
        <w:rPr>
          <w:rFonts w:ascii="Times New Roman" w:hAnsi="Times New Roman"/>
          <w:color w:val="000000" w:themeColor="text1"/>
          <w:sz w:val="22"/>
          <w:szCs w:val="22"/>
        </w:rPr>
        <w:t>neighboring</w:t>
      </w:r>
      <w:proofErr w:type="spellEnd"/>
      <w:r w:rsidRPr="005D6656">
        <w:rPr>
          <w:rFonts w:ascii="Times New Roman" w:hAnsi="Times New Roman"/>
          <w:color w:val="000000" w:themeColor="text1"/>
          <w:sz w:val="22"/>
          <w:szCs w:val="22"/>
        </w:rPr>
        <w:t xml:space="preserve"> countries on the CB area which continues to overwhelm the prosperity of the region. Another factor is the divergent institutional governance structures in both countries, which often affects attempts to joint and integrated actions and solutions. All these are only few of the preconditions that determine different strategic focus and implementation approaches in Interreg programs of external and internal borders. While most EU internal programs provide support for solutions to global challenges, the CBC-IPA territories are still confronted with the need to catch up in their socio-economic development. Therefore, the main joint challenge of the CBC region for 2021-2027 is to take on more advanced course of development while still facing persistent risk of poverty and income inequalities issues urged by negative demographic change, underdeveloped CBC regional value chains and entrepreneurship, low technological specialization, unattractive and uncompetitive business setting. The following territorial divergence pattern across the CB area can be outlined: a tendency for higher scores on the efficiency dimension (GDP and GVA), but lower scores on the basic dimension (infrastructure, health and education), innovation (digital readiness and business dynamisms) and environmental protection (diverse sources of all forms of pollution, limited capacity for civil protection against natural hazards). When these economic pushbacks take place in a weak cross-border institutional context and in the absence of carbon free practices, the prospects for territorial cohesion in line with EU objectives (Territorial Agenda 2030; Green Deal) are further challenged. The carried out Territorial Analysis for programming purposes and its updated version allows for structuring main findings into the following groups of policy areas, viewed from the perspectives of disparities and driving forces for development</w:t>
      </w:r>
    </w:p>
    <w:p w14:paraId="04431EA6" w14:textId="77777777" w:rsidR="005D6656" w:rsidRPr="005D6656" w:rsidRDefault="005D6656" w:rsidP="005D6656">
      <w:pPr>
        <w:rPr>
          <w:rFonts w:ascii="Times New Roman" w:hAnsi="Times New Roman"/>
          <w:color w:val="000000" w:themeColor="text1"/>
          <w:sz w:val="22"/>
          <w:szCs w:val="22"/>
        </w:rPr>
      </w:pPr>
    </w:p>
    <w:p w14:paraId="1DFB6A6C" w14:textId="77777777" w:rsidR="005D6656"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t>The programme area is sparsely populated having population density below the national average of the corresponding country and far from the EU-27 average. In overall, the CB area is characterised by a negative natural population change (both countries experienced population decline by more than 5% in a decade), negative net migration and high proportion of population aged 65 years and more (as compared to EU average).</w:t>
      </w:r>
    </w:p>
    <w:p w14:paraId="512E79D7" w14:textId="77777777" w:rsidR="005D6656"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lastRenderedPageBreak/>
        <w:t>Low income levels and inequalities continue to drawback the economic development of the CB area. Eurostat data[1] show that the CBC territory falls within the groups of regions with the second highest rate of poverty risk and social exclusion. Nearly one quarter of the total population (Bulgaria – 32,1%, Serbia – 29,8%) and at nearly half, on average, of the unemployed (Bulgaria – 51,5%, Serbia – 42,1%) were viewed as being at risk of poverty in 2020. Bulgaria holds the second highest rate of retired persons in the EU-27 at risk of poverty in 2020, while reciprocal data for Serbia place the country in a better position (28,8%), being, however, below the EU-27 average (19,2%). It should be noted, that nearly one fourth of the CBC population is concentrated in the 4th poorest EU NUTS 2 region for 2020 – the Northwest region of Bulgaria. In the 2019 Regional Competitiveness Index the region reported negative scores in all observed indicators except Macroeconomic stability.</w:t>
      </w:r>
    </w:p>
    <w:p w14:paraId="7F050751" w14:textId="77777777" w:rsidR="005D6656"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t xml:space="preserve">The share of attained primary and secondary education level in the whole CB area is slightly above or very close the national average of the respective country. The drop out of school rates is decreasing every year. Serbia outperforms Bulgaria and the EU average on the Eurostat ‘Early leavers from education and training (% of population aged 18-24)’ indicator for 2020, as follows: 5.6% (Serbia), 12.8% (Bulgaria), 9.9 (EU-27). Bulgaria does not meet the ET 2020 (Strategic framework for European cooperation in education and training) benchmark of 10% share of early leavers from education and training, while Serbia not only meet the ET 2020 target, but it also marks an improvement of this key determinant for economic prosperity. Both countries underperform in adult education with slight differences as for Bulgaria placing the country in a better off position. The participation rate in education and training (25-64 years) for 2020 (measured by Eurostat) ranks Bulgaria (1,6%) and Serbia (3,7%) at the bottom of the European classification (EU27: 9,2%) In overall, the </w:t>
      </w:r>
      <w:proofErr w:type="spellStart"/>
      <w:r w:rsidRPr="005D6656">
        <w:rPr>
          <w:rFonts w:ascii="Times New Roman" w:hAnsi="Times New Roman"/>
          <w:color w:val="000000" w:themeColor="text1"/>
          <w:sz w:val="22"/>
          <w:szCs w:val="22"/>
        </w:rPr>
        <w:t>labor</w:t>
      </w:r>
      <w:proofErr w:type="spellEnd"/>
      <w:r w:rsidRPr="005D6656">
        <w:rPr>
          <w:rFonts w:ascii="Times New Roman" w:hAnsi="Times New Roman"/>
          <w:color w:val="000000" w:themeColor="text1"/>
          <w:sz w:val="22"/>
          <w:szCs w:val="22"/>
        </w:rPr>
        <w:t xml:space="preserve"> market in the border area is characterized by low level of employment (63.3 in the BG CBC part and 46.2 in the RS part), high unemployment, extreme wages (minimum and maximum wages of Bulgaria present in the Bulgarian CBC), and low mobility of </w:t>
      </w:r>
      <w:proofErr w:type="spellStart"/>
      <w:r w:rsidRPr="005D6656">
        <w:rPr>
          <w:rFonts w:ascii="Times New Roman" w:hAnsi="Times New Roman"/>
          <w:color w:val="000000" w:themeColor="text1"/>
          <w:sz w:val="22"/>
          <w:szCs w:val="22"/>
        </w:rPr>
        <w:t>labor</w:t>
      </w:r>
      <w:proofErr w:type="spellEnd"/>
      <w:r w:rsidRPr="005D6656">
        <w:rPr>
          <w:rFonts w:ascii="Times New Roman" w:hAnsi="Times New Roman"/>
          <w:color w:val="000000" w:themeColor="text1"/>
          <w:sz w:val="22"/>
          <w:szCs w:val="22"/>
        </w:rPr>
        <w:t xml:space="preserve"> force. In terms of employment, on the Bulgarian side, it is only Sofia district who performs above the national average, while in the Serbian part of the border only </w:t>
      </w:r>
      <w:proofErr w:type="spellStart"/>
      <w:r w:rsidRPr="005D6656">
        <w:rPr>
          <w:rFonts w:ascii="Times New Roman" w:hAnsi="Times New Roman"/>
          <w:color w:val="000000" w:themeColor="text1"/>
          <w:sz w:val="22"/>
          <w:szCs w:val="22"/>
        </w:rPr>
        <w:t>Toplica</w:t>
      </w:r>
      <w:proofErr w:type="spellEnd"/>
      <w:r w:rsidRPr="005D6656">
        <w:rPr>
          <w:rFonts w:ascii="Times New Roman" w:hAnsi="Times New Roman"/>
          <w:color w:val="000000" w:themeColor="text1"/>
          <w:sz w:val="22"/>
          <w:szCs w:val="22"/>
        </w:rPr>
        <w:t xml:space="preserve"> region’s employment rate equals the national benchmark. While the Serbian NUTS III level equivalent regions show an unemployment rate either above or close to the national average, the figures of the Bulgarian district are quite diverse – for example the rate in Vidin district is almost 4 times above the national average, while for Sofia-district is almost 2 times below the average. Despite the high unemployment rate of Serbia, its size has been continuing decreasing since 2014, whereas the employment rate has been keeping relatively stable value over the same period of time.</w:t>
      </w:r>
    </w:p>
    <w:p w14:paraId="7EF6A2F0" w14:textId="77777777" w:rsidR="005D6656"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t xml:space="preserve">Ever since DESI index[4] for 2020 has been built, Bulgaria has been ranked last in every edition of the index in its all indicators – connectivity, digital skills, use of internet services, integration of digital technologies, digital public services. Serbia also scores low (3 out of 5) in the OECD Competitiveness Outlook (2021) with regards to digital society on the six Western Balkan economies. The European Innovation Scoreboard 2021[5] assesses Bulgaria and Serbia as emerging innovators. On regional level the Bulgarian South-West region (incl. Sofia, Pernik and </w:t>
      </w:r>
      <w:proofErr w:type="spellStart"/>
      <w:r w:rsidRPr="005D6656">
        <w:rPr>
          <w:rFonts w:ascii="Times New Roman" w:hAnsi="Times New Roman"/>
          <w:color w:val="000000" w:themeColor="text1"/>
          <w:sz w:val="22"/>
          <w:szCs w:val="22"/>
        </w:rPr>
        <w:t>Kyustendil</w:t>
      </w:r>
      <w:proofErr w:type="spellEnd"/>
      <w:r w:rsidRPr="005D6656">
        <w:rPr>
          <w:rFonts w:ascii="Times New Roman" w:hAnsi="Times New Roman"/>
          <w:color w:val="000000" w:themeColor="text1"/>
          <w:sz w:val="22"/>
          <w:szCs w:val="22"/>
        </w:rPr>
        <w:t xml:space="preserve"> districts) is assessed as moderate innovator. Nevertheless, in both countries there is a lack of attractive research system and cooperation and coordination among academia, the private sector and the government which makes their innovation helix frameworks underdeveloped. In terms of entrepreneurship, no representative data for Serbia has been found. As per Bulgaria, the country performs far below the EU average in </w:t>
      </w:r>
      <w:proofErr w:type="spellStart"/>
      <w:r w:rsidRPr="005D6656">
        <w:rPr>
          <w:rFonts w:ascii="Times New Roman" w:hAnsi="Times New Roman"/>
          <w:color w:val="000000" w:themeColor="text1"/>
          <w:sz w:val="22"/>
          <w:szCs w:val="22"/>
        </w:rPr>
        <w:t>entrereneurship</w:t>
      </w:r>
      <w:proofErr w:type="spellEnd"/>
      <w:r w:rsidRPr="005D6656">
        <w:rPr>
          <w:rFonts w:ascii="Times New Roman" w:hAnsi="Times New Roman"/>
          <w:color w:val="000000" w:themeColor="text1"/>
          <w:sz w:val="22"/>
          <w:szCs w:val="22"/>
        </w:rPr>
        <w:t>, with the lowest score of all Member States. Among most important preconditions for implementing digital transformation policies and practices is the internet connection and usage. Both countries score almost equally on the use of internet and the share of households with access to the internet at home. Mobile broadband penetration is also expanding in Bulgaria and Serbia. In the 2019 GSMA’s publication on The State of Mobile Internet Connectivity both countries are placed in the group of advanced countries.</w:t>
      </w:r>
    </w:p>
    <w:p w14:paraId="64D6B0BE" w14:textId="27A5F68A" w:rsidR="00D81857" w:rsidRPr="005D6656" w:rsidRDefault="005D6656" w:rsidP="005D6656">
      <w:pPr>
        <w:rPr>
          <w:rFonts w:ascii="Times New Roman" w:hAnsi="Times New Roman"/>
          <w:color w:val="000000" w:themeColor="text1"/>
          <w:sz w:val="22"/>
          <w:szCs w:val="22"/>
        </w:rPr>
      </w:pPr>
      <w:r w:rsidRPr="005D6656">
        <w:rPr>
          <w:rFonts w:ascii="Times New Roman" w:hAnsi="Times New Roman"/>
          <w:color w:val="000000" w:themeColor="text1"/>
          <w:sz w:val="22"/>
          <w:szCs w:val="22"/>
        </w:rPr>
        <w:t xml:space="preserve">The variety of natural and cultural assets in the CB area is a key precondition for defining target- oriented tourist offer, but tourism in the region faces insurmountable weaknesses: underdeveloped tourism product as a whole, underdeveloped network of tourism companies, insufficiently qualified staff in the field of tourism services, poor condition and limited access to natural and cultural-historical heritage sites. Furthermore, there is still no developed interaction of the tourist function across the border. The number of tourists is by far the most important indicator showing the degree of tourism attractiveness. Sofia and </w:t>
      </w:r>
      <w:proofErr w:type="spellStart"/>
      <w:r w:rsidRPr="005D6656">
        <w:rPr>
          <w:rFonts w:ascii="Times New Roman" w:hAnsi="Times New Roman"/>
          <w:color w:val="000000" w:themeColor="text1"/>
          <w:sz w:val="22"/>
          <w:szCs w:val="22"/>
        </w:rPr>
        <w:t>Kyustendil</w:t>
      </w:r>
      <w:proofErr w:type="spellEnd"/>
      <w:r w:rsidRPr="005D6656">
        <w:rPr>
          <w:rFonts w:ascii="Times New Roman" w:hAnsi="Times New Roman"/>
          <w:color w:val="000000" w:themeColor="text1"/>
          <w:sz w:val="22"/>
          <w:szCs w:val="22"/>
        </w:rPr>
        <w:t xml:space="preserve"> (Bulgaria) hit the top of the most visited districts in the CBC regions, followed by </w:t>
      </w:r>
      <w:proofErr w:type="spellStart"/>
      <w:r w:rsidRPr="005D6656">
        <w:rPr>
          <w:rFonts w:ascii="Times New Roman" w:hAnsi="Times New Roman"/>
          <w:color w:val="000000" w:themeColor="text1"/>
          <w:sz w:val="22"/>
          <w:szCs w:val="22"/>
        </w:rPr>
        <w:t>Zaječar</w:t>
      </w:r>
      <w:proofErr w:type="spellEnd"/>
      <w:r w:rsidRPr="005D6656">
        <w:rPr>
          <w:rFonts w:ascii="Times New Roman" w:hAnsi="Times New Roman"/>
          <w:color w:val="000000" w:themeColor="text1"/>
          <w:sz w:val="22"/>
          <w:szCs w:val="22"/>
        </w:rPr>
        <w:t xml:space="preserve"> and </w:t>
      </w:r>
      <w:proofErr w:type="spellStart"/>
      <w:r w:rsidRPr="005D6656">
        <w:rPr>
          <w:rFonts w:ascii="Times New Roman" w:hAnsi="Times New Roman"/>
          <w:color w:val="000000" w:themeColor="text1"/>
          <w:sz w:val="22"/>
          <w:szCs w:val="22"/>
        </w:rPr>
        <w:t>Nišava</w:t>
      </w:r>
      <w:proofErr w:type="spellEnd"/>
      <w:r w:rsidRPr="005D6656">
        <w:rPr>
          <w:rFonts w:ascii="Times New Roman" w:hAnsi="Times New Roman"/>
          <w:color w:val="000000" w:themeColor="text1"/>
          <w:sz w:val="22"/>
          <w:szCs w:val="22"/>
        </w:rPr>
        <w:t xml:space="preserve"> (Serbia) – which cumulatively account up to 66% of the total number of tourists in </w:t>
      </w:r>
      <w:r w:rsidRPr="005D6656">
        <w:rPr>
          <w:rFonts w:ascii="Times New Roman" w:hAnsi="Times New Roman"/>
          <w:color w:val="000000" w:themeColor="text1"/>
          <w:sz w:val="22"/>
          <w:szCs w:val="22"/>
        </w:rPr>
        <w:lastRenderedPageBreak/>
        <w:t xml:space="preserve">the Serbian part of the programme area. The least attractive regions are </w:t>
      </w:r>
      <w:proofErr w:type="spellStart"/>
      <w:r w:rsidRPr="005D6656">
        <w:rPr>
          <w:rFonts w:ascii="Times New Roman" w:hAnsi="Times New Roman"/>
          <w:color w:val="000000" w:themeColor="text1"/>
          <w:sz w:val="22"/>
          <w:szCs w:val="22"/>
        </w:rPr>
        <w:t>Pirot</w:t>
      </w:r>
      <w:proofErr w:type="spellEnd"/>
      <w:r w:rsidRPr="005D6656">
        <w:rPr>
          <w:rFonts w:ascii="Times New Roman" w:hAnsi="Times New Roman"/>
          <w:color w:val="000000" w:themeColor="text1"/>
          <w:sz w:val="22"/>
          <w:szCs w:val="22"/>
        </w:rPr>
        <w:t xml:space="preserve">, </w:t>
      </w:r>
      <w:proofErr w:type="spellStart"/>
      <w:r w:rsidRPr="005D6656">
        <w:rPr>
          <w:rFonts w:ascii="Times New Roman" w:hAnsi="Times New Roman"/>
          <w:color w:val="000000" w:themeColor="text1"/>
          <w:sz w:val="22"/>
          <w:szCs w:val="22"/>
        </w:rPr>
        <w:t>Pčinja</w:t>
      </w:r>
      <w:proofErr w:type="spellEnd"/>
      <w:r w:rsidRPr="005D6656">
        <w:rPr>
          <w:rFonts w:ascii="Times New Roman" w:hAnsi="Times New Roman"/>
          <w:color w:val="000000" w:themeColor="text1"/>
          <w:sz w:val="22"/>
          <w:szCs w:val="22"/>
        </w:rPr>
        <w:t xml:space="preserve">, </w:t>
      </w:r>
      <w:proofErr w:type="spellStart"/>
      <w:r w:rsidRPr="005D6656">
        <w:rPr>
          <w:rFonts w:ascii="Times New Roman" w:hAnsi="Times New Roman"/>
          <w:color w:val="000000" w:themeColor="text1"/>
          <w:sz w:val="22"/>
          <w:szCs w:val="22"/>
        </w:rPr>
        <w:t>Toplica</w:t>
      </w:r>
      <w:proofErr w:type="spellEnd"/>
      <w:r w:rsidRPr="005D6656">
        <w:rPr>
          <w:rFonts w:ascii="Times New Roman" w:hAnsi="Times New Roman"/>
          <w:color w:val="000000" w:themeColor="text1"/>
          <w:sz w:val="22"/>
          <w:szCs w:val="22"/>
        </w:rPr>
        <w:t xml:space="preserve"> and Jablanica on the Serbian side and Pernik (industrial centre with lacking tourist attractions) and Vidin (distant from tourism hotspots despite its location on the Danube, with underdeveloped transport connectivity and low quality of the road system) in the Bulgarian part of the region. Tourism attractiveness of the CB area is mainly shaped by the rich diversity of historical and cultural assets, national parks and landmarks, as well as </w:t>
      </w:r>
      <w:proofErr w:type="spellStart"/>
      <w:r w:rsidRPr="005D6656">
        <w:rPr>
          <w:rFonts w:ascii="Times New Roman" w:hAnsi="Times New Roman"/>
          <w:color w:val="000000" w:themeColor="text1"/>
          <w:sz w:val="22"/>
          <w:szCs w:val="22"/>
        </w:rPr>
        <w:t>balneo</w:t>
      </w:r>
      <w:proofErr w:type="spellEnd"/>
      <w:r w:rsidRPr="005D6656">
        <w:rPr>
          <w:rFonts w:ascii="Times New Roman" w:hAnsi="Times New Roman"/>
          <w:color w:val="000000" w:themeColor="text1"/>
          <w:sz w:val="22"/>
          <w:szCs w:val="22"/>
        </w:rPr>
        <w:t xml:space="preserve"> resources. All these constitute a key prerequisite for development of integrated tourist products, but despite the allocated so far vast Interreg support to individual tourism projects, sustainable integrated and cross-border tourism effect (e.g. year-round CBC tourism products that includes visits to various CBC sites) has not been achieved. Therefore, in spite of the enabling factors and preconditions,</w:t>
      </w:r>
    </w:p>
    <w:p w14:paraId="1B4760E9" w14:textId="77777777" w:rsidR="00D81857" w:rsidRPr="0063749B" w:rsidRDefault="00D81857" w:rsidP="008269FA">
      <w:pPr>
        <w:pStyle w:val="Heading2"/>
      </w:pPr>
      <w:bookmarkStart w:id="4" w:name="_Toc169536357"/>
      <w:r w:rsidRPr="0063749B">
        <w:t>Current s</w:t>
      </w:r>
      <w:r w:rsidR="00A74230">
        <w:t>ituation</w:t>
      </w:r>
      <w:r w:rsidRPr="0063749B">
        <w:t xml:space="preserve"> in the sector</w:t>
      </w:r>
      <w:bookmarkEnd w:id="4"/>
    </w:p>
    <w:p w14:paraId="23049CA4" w14:textId="77777777" w:rsidR="00B43090" w:rsidRPr="005D6656" w:rsidRDefault="00B43090" w:rsidP="00B43090">
      <w:pPr>
        <w:rPr>
          <w:rFonts w:ascii="Times New Roman" w:hAnsi="Times New Roman"/>
          <w:sz w:val="22"/>
          <w:szCs w:val="22"/>
        </w:rPr>
      </w:pPr>
      <w:bookmarkStart w:id="5" w:name="_Toc169536358"/>
      <w:r w:rsidRPr="005D6656">
        <w:rPr>
          <w:rFonts w:ascii="Times New Roman" w:hAnsi="Times New Roman"/>
          <w:sz w:val="22"/>
          <w:szCs w:val="22"/>
        </w:rPr>
        <w:t xml:space="preserve">The cross-border area between the Vidin region and the Zajecar region, a constituent part of which is the municipality of Knjazevac, is relatively cut off from the main stream of tourists who arrive in Vidin along the Danube River and international corridor № 4. The Serbian region of Zajecar is located about 7 km west of the Bulgarian-Serbian border on the road of the Roman emperors to the city of Nis, which starts from Vidin and is 145 km long, famous for being the birthplace of Constantine the Great. Another challenge is that the cross-border region does not have a sufficient and consolidated information system to support tourists traveling between the Vidin and Zajecar regions, as well as to provide up-to-date information on the requirements for cross-border crossing of individual and organized bicycle tourists. On the Bulgarian side, there is no bicycle route built so far across the border with Serbia, which presents difficulties to the traveling cyclists and risks between the cities of Vidin and Kula, border checkpoint </w:t>
      </w:r>
      <w:proofErr w:type="spellStart"/>
      <w:r w:rsidRPr="005D6656">
        <w:rPr>
          <w:rFonts w:ascii="Times New Roman" w:hAnsi="Times New Roman"/>
          <w:sz w:val="22"/>
          <w:szCs w:val="22"/>
        </w:rPr>
        <w:t>Vrushka</w:t>
      </w:r>
      <w:proofErr w:type="spellEnd"/>
      <w:r w:rsidRPr="005D6656">
        <w:rPr>
          <w:rFonts w:ascii="Times New Roman" w:hAnsi="Times New Roman"/>
          <w:sz w:val="22"/>
          <w:szCs w:val="22"/>
        </w:rPr>
        <w:t xml:space="preserve"> Chuka, the city of Zajecar and the city of Knjazevac in Serbia. There is a complete lack of information regarding the number of tourists, tourists passing through the </w:t>
      </w:r>
      <w:proofErr w:type="spellStart"/>
      <w:r w:rsidRPr="005D6656">
        <w:rPr>
          <w:rFonts w:ascii="Times New Roman" w:hAnsi="Times New Roman"/>
          <w:sz w:val="22"/>
          <w:szCs w:val="22"/>
        </w:rPr>
        <w:t>Vrushka</w:t>
      </w:r>
      <w:proofErr w:type="spellEnd"/>
      <w:r w:rsidRPr="005D6656">
        <w:rPr>
          <w:rFonts w:ascii="Times New Roman" w:hAnsi="Times New Roman"/>
          <w:sz w:val="22"/>
          <w:szCs w:val="22"/>
        </w:rPr>
        <w:t xml:space="preserve"> Chuka border checkpoint and other useful information about those entering the two countries, such as tolls, car insurance, buses, places to eat, accommodation, resort villages, and cultural-historical sites, other useful information.</w:t>
      </w:r>
    </w:p>
    <w:p w14:paraId="4D8048A2" w14:textId="77777777" w:rsidR="00B43090" w:rsidRPr="005D6656" w:rsidRDefault="00B43090" w:rsidP="00B43090">
      <w:pPr>
        <w:rPr>
          <w:rFonts w:ascii="Times New Roman" w:hAnsi="Times New Roman"/>
          <w:sz w:val="22"/>
          <w:szCs w:val="22"/>
        </w:rPr>
      </w:pPr>
      <w:r w:rsidRPr="005D6656">
        <w:rPr>
          <w:rFonts w:ascii="Times New Roman" w:hAnsi="Times New Roman"/>
          <w:sz w:val="22"/>
          <w:szCs w:val="22"/>
        </w:rPr>
        <w:t xml:space="preserve">In a broader plan, the importance of the cross-border region for the two partner countries stems from its strategic location. According to the Migration Agency, for Serbia the main known entry points by road are </w:t>
      </w:r>
      <w:proofErr w:type="spellStart"/>
      <w:r w:rsidRPr="005D6656">
        <w:rPr>
          <w:rFonts w:ascii="Times New Roman" w:hAnsi="Times New Roman"/>
          <w:sz w:val="22"/>
          <w:szCs w:val="22"/>
        </w:rPr>
        <w:t>Zajecar</w:t>
      </w:r>
      <w:proofErr w:type="spellEnd"/>
      <w:r w:rsidRPr="005D6656">
        <w:rPr>
          <w:rFonts w:ascii="Times New Roman" w:hAnsi="Times New Roman"/>
          <w:sz w:val="22"/>
          <w:szCs w:val="22"/>
        </w:rPr>
        <w:t xml:space="preserve"> (closest to </w:t>
      </w:r>
      <w:proofErr w:type="spellStart"/>
      <w:r w:rsidRPr="005D6656">
        <w:rPr>
          <w:rFonts w:ascii="Times New Roman" w:hAnsi="Times New Roman"/>
          <w:sz w:val="22"/>
          <w:szCs w:val="22"/>
        </w:rPr>
        <w:t>Vrushka</w:t>
      </w:r>
      <w:proofErr w:type="spellEnd"/>
      <w:r w:rsidRPr="005D6656">
        <w:rPr>
          <w:rFonts w:ascii="Times New Roman" w:hAnsi="Times New Roman"/>
          <w:sz w:val="22"/>
          <w:szCs w:val="22"/>
        </w:rPr>
        <w:t xml:space="preserve"> Chuka) and </w:t>
      </w:r>
      <w:proofErr w:type="spellStart"/>
      <w:r w:rsidRPr="005D6656">
        <w:rPr>
          <w:rFonts w:ascii="Times New Roman" w:hAnsi="Times New Roman"/>
          <w:sz w:val="22"/>
          <w:szCs w:val="22"/>
        </w:rPr>
        <w:t>Kalotina</w:t>
      </w:r>
      <w:proofErr w:type="spellEnd"/>
      <w:r w:rsidRPr="005D6656">
        <w:rPr>
          <w:rFonts w:ascii="Times New Roman" w:hAnsi="Times New Roman"/>
          <w:sz w:val="22"/>
          <w:szCs w:val="22"/>
        </w:rPr>
        <w:t xml:space="preserve">, not far from Sofia. The </w:t>
      </w:r>
      <w:proofErr w:type="spellStart"/>
      <w:r w:rsidRPr="005D6656">
        <w:rPr>
          <w:rFonts w:ascii="Times New Roman" w:hAnsi="Times New Roman"/>
          <w:sz w:val="22"/>
          <w:szCs w:val="22"/>
        </w:rPr>
        <w:t>Vrashka</w:t>
      </w:r>
      <w:proofErr w:type="spellEnd"/>
      <w:r w:rsidRPr="005D6656">
        <w:rPr>
          <w:rFonts w:ascii="Times New Roman" w:hAnsi="Times New Roman"/>
          <w:sz w:val="22"/>
          <w:szCs w:val="22"/>
        </w:rPr>
        <w:t xml:space="preserve"> Chuka border checkpoint provides the fastest connection for tourists from Northern Bulgaria and the Vidin region traveling to the Western Balkans through the city of Nis. Currently, the main passenger flow to the Western Balkans passes through </w:t>
      </w:r>
      <w:proofErr w:type="spellStart"/>
      <w:r w:rsidRPr="005D6656">
        <w:rPr>
          <w:rFonts w:ascii="Times New Roman" w:hAnsi="Times New Roman"/>
          <w:sz w:val="22"/>
          <w:szCs w:val="22"/>
        </w:rPr>
        <w:t>Kalotina</w:t>
      </w:r>
      <w:proofErr w:type="spellEnd"/>
      <w:r w:rsidRPr="005D6656">
        <w:rPr>
          <w:rFonts w:ascii="Times New Roman" w:hAnsi="Times New Roman"/>
          <w:sz w:val="22"/>
          <w:szCs w:val="22"/>
        </w:rPr>
        <w:t xml:space="preserve"> (Sofia) and </w:t>
      </w:r>
      <w:proofErr w:type="spellStart"/>
      <w:r w:rsidRPr="005D6656">
        <w:rPr>
          <w:rFonts w:ascii="Times New Roman" w:hAnsi="Times New Roman"/>
          <w:sz w:val="22"/>
          <w:szCs w:val="22"/>
        </w:rPr>
        <w:t>Kyustendil</w:t>
      </w:r>
      <w:proofErr w:type="spellEnd"/>
      <w:r w:rsidRPr="005D6656">
        <w:rPr>
          <w:rFonts w:ascii="Times New Roman" w:hAnsi="Times New Roman"/>
          <w:sz w:val="22"/>
          <w:szCs w:val="22"/>
        </w:rPr>
        <w:t xml:space="preserve"> (</w:t>
      </w:r>
      <w:proofErr w:type="spellStart"/>
      <w:r w:rsidRPr="005D6656">
        <w:rPr>
          <w:rFonts w:ascii="Times New Roman" w:hAnsi="Times New Roman"/>
          <w:sz w:val="22"/>
          <w:szCs w:val="22"/>
        </w:rPr>
        <w:t>Gyueshevo</w:t>
      </w:r>
      <w:proofErr w:type="spellEnd"/>
      <w:r w:rsidRPr="005D6656">
        <w:rPr>
          <w:rFonts w:ascii="Times New Roman" w:hAnsi="Times New Roman"/>
          <w:sz w:val="22"/>
          <w:szCs w:val="22"/>
        </w:rPr>
        <w:t xml:space="preserve">), due to a lack of sufficient information on the state of travel and tourism in the cross-border region. </w:t>
      </w:r>
    </w:p>
    <w:p w14:paraId="4D6F4219" w14:textId="77777777" w:rsidR="00B43090" w:rsidRPr="005D6656" w:rsidRDefault="00B43090" w:rsidP="00B43090">
      <w:pPr>
        <w:rPr>
          <w:rFonts w:ascii="Times New Roman" w:hAnsi="Times New Roman"/>
          <w:sz w:val="22"/>
          <w:szCs w:val="22"/>
        </w:rPr>
      </w:pPr>
      <w:r w:rsidRPr="005D6656">
        <w:rPr>
          <w:rFonts w:ascii="Times New Roman" w:hAnsi="Times New Roman"/>
          <w:sz w:val="22"/>
          <w:szCs w:val="22"/>
        </w:rPr>
        <w:t>Another challenge, besides weak cross-border information connectivity, is the insufficient digitization of the territory. There is no mapped information about the available cultural and historical sites, existing protected biological species and other natural attractions in the cross-border area, which would be an additional attractive factor for planning tourist trips and hikes. Another common challenge between the two municipalities is the underdeveloped cycling infrastructure, the need to expand services for cycle tourists, building on good practices and already explored cycling routes on ongoing or completed projects.</w:t>
      </w:r>
    </w:p>
    <w:p w14:paraId="4047A25B" w14:textId="77777777" w:rsidR="00B43090" w:rsidRPr="005D6656" w:rsidRDefault="00B43090" w:rsidP="00B43090">
      <w:pPr>
        <w:rPr>
          <w:rFonts w:ascii="Times New Roman" w:hAnsi="Times New Roman"/>
          <w:sz w:val="22"/>
          <w:szCs w:val="22"/>
        </w:rPr>
      </w:pPr>
      <w:r w:rsidRPr="005D6656">
        <w:rPr>
          <w:rFonts w:ascii="Times New Roman" w:hAnsi="Times New Roman"/>
          <w:sz w:val="22"/>
          <w:szCs w:val="22"/>
        </w:rPr>
        <w:t>In terms of infrastructure, from the Bulgarian side, separate bicycle lanes have been built in the city of Vidin with European funds, but additional planning and funding are needed to implement a targeted policy in this direction. On the Serbian side, the street network is better built and it will be easier to carry out the necessary planning and marking of bike lanes or to build new ones. Common to both municipalities, however, is the challenge of attracting investments for this type of ecological and healthy tourism, the benefits of which are not only individual, but also public.</w:t>
      </w:r>
    </w:p>
    <w:p w14:paraId="4B338EF2" w14:textId="172C5EC5" w:rsidR="00B43090" w:rsidRPr="005D6656" w:rsidRDefault="00B43090" w:rsidP="00B43090">
      <w:pPr>
        <w:rPr>
          <w:rFonts w:ascii="Times New Roman" w:hAnsi="Times New Roman"/>
          <w:sz w:val="22"/>
          <w:szCs w:val="22"/>
        </w:rPr>
      </w:pPr>
      <w:r w:rsidRPr="005D6656">
        <w:rPr>
          <w:rFonts w:ascii="Times New Roman" w:hAnsi="Times New Roman"/>
          <w:sz w:val="22"/>
          <w:szCs w:val="22"/>
        </w:rPr>
        <w:t>The planned activities of the project will improve the regional attractiveness of the cross-¬border areas and expand the information services for individual and group tourists. The connection of the new cycle route Timok - Danube Cycling between Vidin and Zajecar districts with the existing ones in the region and the country will provide the necessary conditions for its continued development.</w:t>
      </w:r>
    </w:p>
    <w:p w14:paraId="21727800" w14:textId="4D3B77F8" w:rsidR="00D81857" w:rsidRPr="0063749B" w:rsidRDefault="00D81857" w:rsidP="008269FA">
      <w:pPr>
        <w:pStyle w:val="Heading2"/>
      </w:pPr>
      <w:r w:rsidRPr="0063749B">
        <w:lastRenderedPageBreak/>
        <w:t>Related programmes and other donor activities</w:t>
      </w:r>
      <w:bookmarkEnd w:id="5"/>
    </w:p>
    <w:p w14:paraId="3F726361" w14:textId="2CB2C27C" w:rsidR="00D81857" w:rsidRPr="0063749B" w:rsidRDefault="0047055D" w:rsidP="008D141B">
      <w:pPr>
        <w:rPr>
          <w:rFonts w:ascii="Times New Roman" w:hAnsi="Times New Roman"/>
          <w:sz w:val="22"/>
          <w:szCs w:val="22"/>
        </w:rPr>
      </w:pPr>
      <w:r>
        <w:rPr>
          <w:rFonts w:ascii="Times New Roman" w:hAnsi="Times New Roman"/>
          <w:sz w:val="22"/>
          <w:szCs w:val="22"/>
        </w:rPr>
        <w:t>N/A</w:t>
      </w:r>
    </w:p>
    <w:p w14:paraId="225B4FBD" w14:textId="77777777" w:rsidR="00D81857" w:rsidRDefault="00D81857" w:rsidP="008A65FE">
      <w:pPr>
        <w:pStyle w:val="Heading1"/>
      </w:pPr>
      <w:bookmarkStart w:id="6" w:name="_Toc169536359"/>
      <w:r w:rsidRPr="0063749B">
        <w:t>OBJECTIVE</w:t>
      </w:r>
      <w:r w:rsidR="00671268">
        <w:t>S</w:t>
      </w:r>
      <w:r w:rsidRPr="0063749B">
        <w:t xml:space="preserve"> &amp; EXPECTED </w:t>
      </w:r>
      <w:r w:rsidR="00671268">
        <w:t>OUTPUTS</w:t>
      </w:r>
      <w:bookmarkEnd w:id="6"/>
    </w:p>
    <w:p w14:paraId="6805F5AA" w14:textId="77777777" w:rsidR="00D81857" w:rsidRPr="0063749B" w:rsidRDefault="00D81857" w:rsidP="008269FA">
      <w:pPr>
        <w:pStyle w:val="Heading2"/>
      </w:pPr>
      <w:bookmarkStart w:id="7" w:name="_Toc169536360"/>
      <w:r w:rsidRPr="0063749B">
        <w:t>Overall objective</w:t>
      </w:r>
      <w:bookmarkEnd w:id="7"/>
    </w:p>
    <w:p w14:paraId="47AE6202" w14:textId="568EF120" w:rsidR="00D81857"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 xml:space="preserve">to which this action contributes is </w:t>
      </w:r>
      <w:r w:rsidRPr="0063749B">
        <w:rPr>
          <w:rFonts w:ascii="Times New Roman" w:hAnsi="Times New Roman"/>
          <w:sz w:val="22"/>
          <w:szCs w:val="22"/>
        </w:rPr>
        <w:t>:</w:t>
      </w:r>
    </w:p>
    <w:p w14:paraId="009F6159" w14:textId="77777777" w:rsidR="001354E7" w:rsidRPr="00135B4D" w:rsidRDefault="001354E7" w:rsidP="001354E7">
      <w:pPr>
        <w:rPr>
          <w:rFonts w:ascii="Times New Roman" w:hAnsi="Times New Roman"/>
          <w:sz w:val="22"/>
          <w:szCs w:val="22"/>
        </w:rPr>
      </w:pPr>
      <w:r>
        <w:rPr>
          <w:rFonts w:ascii="Times New Roman" w:hAnsi="Times New Roman"/>
          <w:sz w:val="22"/>
          <w:szCs w:val="22"/>
        </w:rPr>
        <w:t xml:space="preserve">To </w:t>
      </w:r>
      <w:r w:rsidRPr="00135B4D">
        <w:rPr>
          <w:rFonts w:ascii="Times New Roman" w:hAnsi="Times New Roman"/>
          <w:sz w:val="22"/>
          <w:szCs w:val="22"/>
        </w:rPr>
        <w:t>Expand tourist connections and recognition of the cross-border area between Vidin (Bulgaria) and Zajecar (Serbia), improve their cross-border connectivity, and encourage sustainable tourism.</w:t>
      </w:r>
    </w:p>
    <w:p w14:paraId="23C785A9" w14:textId="52C47A26" w:rsidR="00D81857" w:rsidRPr="0063749B" w:rsidRDefault="00312C82" w:rsidP="008269FA">
      <w:pPr>
        <w:pStyle w:val="Heading2"/>
      </w:pPr>
      <w:bookmarkStart w:id="8" w:name="_Toc64132845"/>
      <w:bookmarkStart w:id="9" w:name="_Toc169536361"/>
      <w:r>
        <w:t xml:space="preserve">Specific </w:t>
      </w:r>
      <w:r w:rsidR="00B14237">
        <w:t>o</w:t>
      </w:r>
      <w:r>
        <w:t>bjective(s)</w:t>
      </w:r>
      <w:bookmarkEnd w:id="8"/>
      <w:bookmarkEnd w:id="9"/>
    </w:p>
    <w:p w14:paraId="385F6AE7" w14:textId="2807C51D" w:rsidR="00D81857"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Pr>
          <w:rFonts w:ascii="Times New Roman" w:hAnsi="Times New Roman"/>
          <w:sz w:val="22"/>
          <w:szCs w:val="22"/>
        </w:rPr>
        <w:t xml:space="preserve"> </w:t>
      </w:r>
      <w:r w:rsidR="00312C82" w:rsidRPr="001E27BD">
        <w:rPr>
          <w:rFonts w:ascii="Times New Roman" w:hAnsi="Times New Roman"/>
          <w:sz w:val="22"/>
          <w:szCs w:val="22"/>
        </w:rPr>
        <w:t>specific objective</w:t>
      </w:r>
      <w:r w:rsidR="0047055D">
        <w:rPr>
          <w:rFonts w:ascii="Times New Roman" w:hAnsi="Times New Roman"/>
          <w:sz w:val="22"/>
          <w:szCs w:val="22"/>
        </w:rPr>
        <w:t xml:space="preserve"> </w:t>
      </w:r>
      <w:r w:rsidRPr="0063749B">
        <w:rPr>
          <w:rFonts w:ascii="Times New Roman" w:hAnsi="Times New Roman"/>
          <w:sz w:val="22"/>
          <w:szCs w:val="22"/>
        </w:rPr>
        <w:t xml:space="preserve">of this contract </w:t>
      </w:r>
      <w:r w:rsidR="0047055D">
        <w:rPr>
          <w:rFonts w:ascii="Times New Roman" w:hAnsi="Times New Roman"/>
          <w:sz w:val="22"/>
          <w:szCs w:val="22"/>
        </w:rPr>
        <w:t xml:space="preserve">is </w:t>
      </w:r>
      <w:r w:rsidRPr="0063749B">
        <w:rPr>
          <w:rFonts w:ascii="Times New Roman" w:hAnsi="Times New Roman"/>
          <w:sz w:val="22"/>
          <w:szCs w:val="22"/>
        </w:rPr>
        <w:t>as follows:</w:t>
      </w:r>
    </w:p>
    <w:p w14:paraId="4AC83B13" w14:textId="1EDEBEC3" w:rsidR="0047055D" w:rsidRPr="005D6656" w:rsidRDefault="0047055D" w:rsidP="0047055D">
      <w:pPr>
        <w:spacing w:after="0"/>
        <w:rPr>
          <w:rFonts w:ascii="Times New Roman" w:hAnsi="Times New Roman"/>
          <w:sz w:val="22"/>
          <w:szCs w:val="22"/>
        </w:rPr>
      </w:pPr>
      <w:r w:rsidRPr="005D6656">
        <w:rPr>
          <w:rFonts w:ascii="Times New Roman" w:hAnsi="Times New Roman"/>
          <w:sz w:val="22"/>
          <w:szCs w:val="22"/>
        </w:rPr>
        <w:t xml:space="preserve">To develop a Platform that will serve as a one-stop shop for all cycling tourism information related to the Timok-Danube region, improving accessibility for potential visitors. </w:t>
      </w:r>
    </w:p>
    <w:p w14:paraId="7E8F1274" w14:textId="77777777" w:rsidR="0047055D" w:rsidRPr="005D6656" w:rsidRDefault="0047055D" w:rsidP="0047055D">
      <w:pPr>
        <w:spacing w:after="0"/>
        <w:rPr>
          <w:rFonts w:ascii="Times New Roman" w:hAnsi="Times New Roman"/>
          <w:sz w:val="22"/>
          <w:szCs w:val="22"/>
        </w:rPr>
      </w:pPr>
      <w:r w:rsidRPr="005D6656">
        <w:rPr>
          <w:rFonts w:ascii="Times New Roman" w:hAnsi="Times New Roman"/>
          <w:sz w:val="22"/>
          <w:szCs w:val="22"/>
        </w:rPr>
        <w:t>The platform will empower cyclists to plan their trip effectively with detailed route descriptions, attraction information, and multimedia content.</w:t>
      </w:r>
    </w:p>
    <w:p w14:paraId="403074B1" w14:textId="5408D35B" w:rsidR="00D81857" w:rsidRPr="0063749B" w:rsidRDefault="00312C82" w:rsidP="008269FA">
      <w:pPr>
        <w:pStyle w:val="Heading2"/>
      </w:pPr>
      <w:bookmarkStart w:id="10" w:name="_Toc169536362"/>
      <w:r>
        <w:t xml:space="preserve">Expected outputs </w:t>
      </w:r>
      <w:r w:rsidR="00D81857" w:rsidRPr="0063749B">
        <w:t xml:space="preserve">to be achieved by the </w:t>
      </w:r>
      <w:r w:rsidR="00E21553">
        <w:t>c</w:t>
      </w:r>
      <w:r w:rsidR="00320C07">
        <w:t>ontractor</w:t>
      </w:r>
      <w:bookmarkEnd w:id="10"/>
    </w:p>
    <w:p w14:paraId="27FB1D6A" w14:textId="2345F441" w:rsidR="007A5600" w:rsidRPr="007A5600"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1DF97442" w14:textId="790AA223"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02FAF3ED" w14:textId="77777777" w:rsidR="005D6656" w:rsidRPr="005D6656" w:rsidRDefault="005D6656" w:rsidP="005D6656">
      <w:pPr>
        <w:pStyle w:val="ListParagraph"/>
        <w:numPr>
          <w:ilvl w:val="0"/>
          <w:numId w:val="28"/>
        </w:numPr>
      </w:pPr>
      <w:r w:rsidRPr="005D6656">
        <w:rPr>
          <w:rFonts w:ascii="Times New Roman" w:hAnsi="Times New Roman"/>
        </w:rPr>
        <w:t>Web-based platform Timok-Danube Cycling</w:t>
      </w:r>
      <w:r>
        <w:rPr>
          <w:rFonts w:ascii="Times New Roman" w:hAnsi="Times New Roman"/>
        </w:rPr>
        <w:t>, the</w:t>
      </w:r>
      <w:r w:rsidRPr="005D6656">
        <w:rPr>
          <w:rFonts w:ascii="Times New Roman" w:hAnsi="Times New Roman"/>
        </w:rPr>
        <w:t xml:space="preserve"> new and innovative tourist’ introduction for Zajecar and Vidin District</w:t>
      </w:r>
      <w:r>
        <w:rPr>
          <w:rFonts w:ascii="Times New Roman" w:hAnsi="Times New Roman"/>
        </w:rPr>
        <w:t xml:space="preserve"> has been prepared</w:t>
      </w:r>
    </w:p>
    <w:p w14:paraId="7C39AC66" w14:textId="77777777" w:rsidR="00D81857" w:rsidRPr="0063749B" w:rsidRDefault="00D81857" w:rsidP="008A65FE">
      <w:pPr>
        <w:pStyle w:val="Heading1"/>
      </w:pPr>
      <w:bookmarkStart w:id="11" w:name="_Toc169536363"/>
      <w:r w:rsidRPr="0063749B">
        <w:t>ASSUMPTIONS &amp; RISKS</w:t>
      </w:r>
      <w:bookmarkEnd w:id="11"/>
    </w:p>
    <w:p w14:paraId="4B97C5B5" w14:textId="77777777" w:rsidR="00D81857" w:rsidRPr="0063749B" w:rsidRDefault="00D81857" w:rsidP="008269FA">
      <w:pPr>
        <w:pStyle w:val="Heading2"/>
      </w:pPr>
      <w:bookmarkStart w:id="12" w:name="_Toc169536364"/>
      <w:r w:rsidRPr="0063749B">
        <w:t>Assumptions underlying the project</w:t>
      </w:r>
      <w:bookmarkEnd w:id="12"/>
    </w:p>
    <w:p w14:paraId="188885F3" w14:textId="69A5B34F" w:rsidR="00D81857" w:rsidRPr="0063749B" w:rsidRDefault="00B84A09" w:rsidP="008D141B">
      <w:pPr>
        <w:rPr>
          <w:rFonts w:ascii="Times New Roman" w:hAnsi="Times New Roman"/>
          <w:sz w:val="22"/>
          <w:szCs w:val="22"/>
        </w:rPr>
      </w:pPr>
      <w:r>
        <w:rPr>
          <w:rFonts w:ascii="Times New Roman" w:hAnsi="Times New Roman"/>
          <w:sz w:val="22"/>
          <w:szCs w:val="22"/>
        </w:rPr>
        <w:t>N/A</w:t>
      </w:r>
    </w:p>
    <w:p w14:paraId="488782E9" w14:textId="77777777" w:rsidR="00D81857" w:rsidRDefault="00D81857" w:rsidP="008269FA">
      <w:pPr>
        <w:pStyle w:val="Heading2"/>
      </w:pPr>
      <w:bookmarkStart w:id="13" w:name="_Toc169536365"/>
      <w:r w:rsidRPr="0063749B">
        <w:t>Risks</w:t>
      </w:r>
      <w:bookmarkEnd w:id="13"/>
    </w:p>
    <w:p w14:paraId="44ED91CD" w14:textId="54F24484" w:rsidR="005D6656" w:rsidRPr="005D6656" w:rsidRDefault="005D6656" w:rsidP="005D6656">
      <w:pPr>
        <w:pStyle w:val="Text2"/>
        <w:ind w:left="0"/>
      </w:pPr>
      <w:r>
        <w:t>N/A</w:t>
      </w:r>
    </w:p>
    <w:p w14:paraId="0BEB4400" w14:textId="77777777" w:rsidR="00D81857" w:rsidRPr="0063749B" w:rsidRDefault="00D81857" w:rsidP="008A65FE">
      <w:pPr>
        <w:pStyle w:val="Heading1"/>
      </w:pPr>
      <w:bookmarkStart w:id="14" w:name="_Toc169536366"/>
      <w:r w:rsidRPr="0063749B">
        <w:t>SCOPE OF THE WORK</w:t>
      </w:r>
      <w:bookmarkEnd w:id="14"/>
    </w:p>
    <w:p w14:paraId="5B9C73EA" w14:textId="77777777" w:rsidR="00D81857" w:rsidRPr="0063749B" w:rsidRDefault="00D81857" w:rsidP="008269FA">
      <w:pPr>
        <w:pStyle w:val="Heading2"/>
      </w:pPr>
      <w:bookmarkStart w:id="15" w:name="_Toc169536367"/>
      <w:r w:rsidRPr="0063749B">
        <w:t>General</w:t>
      </w:r>
      <w:bookmarkEnd w:id="15"/>
    </w:p>
    <w:p w14:paraId="1C17AF87" w14:textId="77777777" w:rsidR="00D81857" w:rsidRPr="0063749B" w:rsidRDefault="00D81857" w:rsidP="008A13C7">
      <w:pPr>
        <w:pStyle w:val="Heading3"/>
      </w:pPr>
      <w:r w:rsidRPr="0063749B">
        <w:t xml:space="preserve">Description of the </w:t>
      </w:r>
      <w:r w:rsidR="002E468E" w:rsidRPr="0063749B">
        <w:t>assignment</w:t>
      </w:r>
    </w:p>
    <w:p w14:paraId="212D15D7" w14:textId="3525DF5F" w:rsidR="00954155" w:rsidRDefault="00954155" w:rsidP="008D141B">
      <w:pPr>
        <w:rPr>
          <w:rFonts w:ascii="Times New Roman" w:hAnsi="Times New Roman"/>
          <w:sz w:val="22"/>
          <w:szCs w:val="22"/>
        </w:rPr>
      </w:pPr>
      <w:r w:rsidRPr="00954155">
        <w:rPr>
          <w:rFonts w:ascii="Times New Roman" w:hAnsi="Times New Roman"/>
          <w:sz w:val="22"/>
          <w:szCs w:val="22"/>
        </w:rPr>
        <w:t xml:space="preserve">Assignment is a part of a project: </w:t>
      </w:r>
      <w:r>
        <w:rPr>
          <w:rFonts w:ascii="Times New Roman" w:hAnsi="Times New Roman"/>
          <w:sz w:val="22"/>
          <w:szCs w:val="22"/>
        </w:rPr>
        <w:t>Timok Danube Cycling – TDC</w:t>
      </w:r>
      <w:r w:rsidR="00135B4D">
        <w:rPr>
          <w:rFonts w:ascii="Times New Roman" w:hAnsi="Times New Roman"/>
          <w:sz w:val="22"/>
          <w:szCs w:val="22"/>
        </w:rPr>
        <w:t xml:space="preserve">: </w:t>
      </w:r>
    </w:p>
    <w:p w14:paraId="01C9E880" w14:textId="77777777" w:rsidR="00135B4D" w:rsidRPr="00135B4D" w:rsidRDefault="00135B4D" w:rsidP="00135B4D">
      <w:pPr>
        <w:rPr>
          <w:rFonts w:ascii="Times New Roman" w:hAnsi="Times New Roman"/>
          <w:b/>
          <w:bCs/>
          <w:sz w:val="22"/>
          <w:szCs w:val="22"/>
        </w:rPr>
      </w:pPr>
      <w:r w:rsidRPr="00135B4D">
        <w:rPr>
          <w:rFonts w:ascii="Times New Roman" w:hAnsi="Times New Roman"/>
          <w:b/>
          <w:bCs/>
          <w:sz w:val="22"/>
          <w:szCs w:val="22"/>
        </w:rPr>
        <w:lastRenderedPageBreak/>
        <w:t xml:space="preserve">Project overall objective: </w:t>
      </w:r>
    </w:p>
    <w:p w14:paraId="39E9173F" w14:textId="5651AE7A" w:rsidR="00135B4D" w:rsidRPr="00135B4D" w:rsidRDefault="00135B4D" w:rsidP="00135B4D">
      <w:pPr>
        <w:rPr>
          <w:rFonts w:ascii="Times New Roman" w:hAnsi="Times New Roman"/>
          <w:sz w:val="22"/>
          <w:szCs w:val="22"/>
        </w:rPr>
      </w:pPr>
      <w:r>
        <w:rPr>
          <w:rFonts w:ascii="Times New Roman" w:hAnsi="Times New Roman"/>
          <w:sz w:val="22"/>
          <w:szCs w:val="22"/>
        </w:rPr>
        <w:t xml:space="preserve">To </w:t>
      </w:r>
      <w:r w:rsidRPr="00135B4D">
        <w:rPr>
          <w:rFonts w:ascii="Times New Roman" w:hAnsi="Times New Roman"/>
          <w:sz w:val="22"/>
          <w:szCs w:val="22"/>
        </w:rPr>
        <w:t>Expand tourist connections and recognition of the cross-border area between Vidin (Bulgaria) and Zajecar (Serbia), improve their cross-border connectivity, and encourage sustainable tourism.</w:t>
      </w:r>
    </w:p>
    <w:p w14:paraId="74A6C27F" w14:textId="77777777" w:rsidR="00135B4D" w:rsidRPr="00135B4D" w:rsidRDefault="00135B4D" w:rsidP="00135B4D">
      <w:pPr>
        <w:rPr>
          <w:rFonts w:ascii="Times New Roman" w:hAnsi="Times New Roman"/>
          <w:b/>
          <w:bCs/>
          <w:sz w:val="22"/>
          <w:szCs w:val="22"/>
        </w:rPr>
      </w:pPr>
      <w:r w:rsidRPr="00135B4D">
        <w:rPr>
          <w:rFonts w:ascii="Times New Roman" w:hAnsi="Times New Roman"/>
          <w:b/>
          <w:bCs/>
          <w:sz w:val="22"/>
          <w:szCs w:val="22"/>
        </w:rPr>
        <w:t>Specific Objective:</w:t>
      </w:r>
    </w:p>
    <w:p w14:paraId="3C808317" w14:textId="791A392B" w:rsidR="00135B4D" w:rsidRPr="00135B4D" w:rsidRDefault="00135B4D" w:rsidP="00135B4D">
      <w:pPr>
        <w:rPr>
          <w:rFonts w:ascii="Times New Roman" w:hAnsi="Times New Roman"/>
          <w:sz w:val="22"/>
          <w:szCs w:val="22"/>
        </w:rPr>
      </w:pPr>
      <w:r w:rsidRPr="00135B4D">
        <w:rPr>
          <w:rFonts w:ascii="Times New Roman" w:hAnsi="Times New Roman"/>
          <w:sz w:val="22"/>
          <w:szCs w:val="22"/>
        </w:rPr>
        <w:t xml:space="preserve">The specific goal is to implement the cycling route Timok- Danube Cycle, which will connect with the existing </w:t>
      </w:r>
      <w:proofErr w:type="spellStart"/>
      <w:r w:rsidRPr="00135B4D">
        <w:rPr>
          <w:rFonts w:ascii="Times New Roman" w:hAnsi="Times New Roman"/>
          <w:sz w:val="22"/>
          <w:szCs w:val="22"/>
        </w:rPr>
        <w:t>Eurovelo</w:t>
      </w:r>
      <w:proofErr w:type="spellEnd"/>
      <w:r w:rsidRPr="00135B4D">
        <w:rPr>
          <w:rFonts w:ascii="Times New Roman" w:hAnsi="Times New Roman"/>
          <w:sz w:val="22"/>
          <w:szCs w:val="22"/>
        </w:rPr>
        <w:t xml:space="preserve"> 6 and </w:t>
      </w:r>
      <w:proofErr w:type="spellStart"/>
      <w:r w:rsidRPr="00135B4D">
        <w:rPr>
          <w:rFonts w:ascii="Times New Roman" w:hAnsi="Times New Roman"/>
          <w:sz w:val="22"/>
          <w:szCs w:val="22"/>
        </w:rPr>
        <w:t>Eurovelo</w:t>
      </w:r>
      <w:proofErr w:type="spellEnd"/>
      <w:r w:rsidRPr="00135B4D">
        <w:rPr>
          <w:rFonts w:ascii="Times New Roman" w:hAnsi="Times New Roman"/>
          <w:sz w:val="22"/>
          <w:szCs w:val="22"/>
        </w:rPr>
        <w:t xml:space="preserve"> 13 The Iron Curtain Road, part of which are the border territories of the districts of Vidin and Zajecar, also Knjazevac, as its constituent municipality.</w:t>
      </w:r>
    </w:p>
    <w:p w14:paraId="1C4EE8EF" w14:textId="4297369E" w:rsidR="00135B4D" w:rsidRPr="00135B4D" w:rsidRDefault="00135B4D" w:rsidP="00135B4D">
      <w:pPr>
        <w:rPr>
          <w:rFonts w:ascii="Times New Roman" w:hAnsi="Times New Roman"/>
          <w:b/>
          <w:bCs/>
          <w:sz w:val="22"/>
          <w:szCs w:val="22"/>
        </w:rPr>
      </w:pPr>
      <w:r w:rsidRPr="00135B4D">
        <w:rPr>
          <w:rFonts w:ascii="Times New Roman" w:hAnsi="Times New Roman"/>
          <w:b/>
          <w:bCs/>
          <w:sz w:val="22"/>
          <w:szCs w:val="22"/>
        </w:rPr>
        <w:t>Project Results</w:t>
      </w:r>
    </w:p>
    <w:p w14:paraId="1A4ADAFD" w14:textId="1B0BDF41" w:rsidR="00135B4D" w:rsidRDefault="00135B4D" w:rsidP="005D6656">
      <w:pPr>
        <w:pStyle w:val="ListParagraph"/>
        <w:numPr>
          <w:ilvl w:val="0"/>
          <w:numId w:val="29"/>
        </w:numPr>
        <w:rPr>
          <w:rFonts w:ascii="Times New Roman" w:hAnsi="Times New Roman"/>
        </w:rPr>
      </w:pPr>
      <w:r w:rsidRPr="005D6656">
        <w:rPr>
          <w:rFonts w:ascii="Times New Roman" w:hAnsi="Times New Roman"/>
        </w:rPr>
        <w:t>A total of 600 people, including citizens and visitors of both cities, are expected to attend the official opening ceremonies of the rehabilitated or newly built cycling paths in Vidin and Knjaževac.</w:t>
      </w:r>
    </w:p>
    <w:p w14:paraId="08F70C8B" w14:textId="160405A8" w:rsidR="00135B4D" w:rsidRPr="005D6656" w:rsidRDefault="00135B4D" w:rsidP="00135B4D">
      <w:pPr>
        <w:pStyle w:val="ListParagraph"/>
        <w:numPr>
          <w:ilvl w:val="0"/>
          <w:numId w:val="29"/>
        </w:numPr>
        <w:rPr>
          <w:rFonts w:ascii="Times New Roman" w:hAnsi="Times New Roman"/>
        </w:rPr>
      </w:pPr>
      <w:r w:rsidRPr="005D6656">
        <w:rPr>
          <w:rFonts w:ascii="Times New Roman" w:hAnsi="Times New Roman"/>
        </w:rPr>
        <w:t>By implementing the project, a new tourism product will be created through the improvement of sections of cycling infrastructure, conducting analyses and developing recommendations for enhancing cycling accessibility in Vidin and Zaječar districts along the Timok–Danube route, preparation of cycling manuals, creation of thematic cycling tourist routes, and strengthening the capacity for cycling tourism. Additionally, new marketing practices will be tested through the production of 20 promotional films and the development of the “Timok–Danube Cycling” web platform.</w:t>
      </w:r>
    </w:p>
    <w:p w14:paraId="761C92A4" w14:textId="77777777" w:rsidR="00D81857" w:rsidRPr="0063749B" w:rsidRDefault="00D81857" w:rsidP="008A13C7">
      <w:pPr>
        <w:pStyle w:val="Heading3"/>
      </w:pPr>
      <w:r w:rsidRPr="0063749B">
        <w:t>Geographical area to be covered</w:t>
      </w:r>
    </w:p>
    <w:p w14:paraId="6F224CFE" w14:textId="77777777" w:rsidR="00954155" w:rsidRPr="0063749B" w:rsidRDefault="00954155" w:rsidP="00954155">
      <w:pPr>
        <w:rPr>
          <w:rFonts w:ascii="Times New Roman" w:hAnsi="Times New Roman"/>
          <w:sz w:val="22"/>
          <w:szCs w:val="22"/>
        </w:rPr>
      </w:pPr>
      <w:r w:rsidRPr="00CF7962">
        <w:rPr>
          <w:rFonts w:ascii="Times New Roman" w:hAnsi="Times New Roman"/>
          <w:sz w:val="22"/>
          <w:szCs w:val="22"/>
        </w:rPr>
        <w:t xml:space="preserve">The project </w:t>
      </w:r>
      <w:r>
        <w:rPr>
          <w:rFonts w:ascii="Times New Roman" w:hAnsi="Times New Roman"/>
          <w:sz w:val="22"/>
          <w:szCs w:val="22"/>
        </w:rPr>
        <w:t xml:space="preserve">activities related to this Contract </w:t>
      </w:r>
      <w:r w:rsidRPr="00CF7962">
        <w:rPr>
          <w:rFonts w:ascii="Times New Roman" w:hAnsi="Times New Roman"/>
          <w:sz w:val="22"/>
          <w:szCs w:val="22"/>
        </w:rPr>
        <w:t xml:space="preserve">will be realized </w:t>
      </w:r>
      <w:r>
        <w:rPr>
          <w:rFonts w:ascii="Times New Roman" w:hAnsi="Times New Roman"/>
          <w:sz w:val="22"/>
          <w:szCs w:val="22"/>
        </w:rPr>
        <w:t xml:space="preserve">in the territory covered by the Municipality of Knjaževac, City of Zaječar and City of Vidin. </w:t>
      </w:r>
      <w:r w:rsidRPr="00CF7962">
        <w:rPr>
          <w:rFonts w:ascii="Times New Roman" w:hAnsi="Times New Roman"/>
          <w:sz w:val="22"/>
          <w:szCs w:val="22"/>
        </w:rPr>
        <w:t xml:space="preserve"> </w:t>
      </w:r>
    </w:p>
    <w:p w14:paraId="4A60BB7E" w14:textId="77777777" w:rsidR="00D81857" w:rsidRPr="0063749B" w:rsidRDefault="00D81857" w:rsidP="008A13C7">
      <w:pPr>
        <w:pStyle w:val="Heading3"/>
      </w:pPr>
      <w:r w:rsidRPr="0063749B">
        <w:t>Target groups</w:t>
      </w:r>
    </w:p>
    <w:p w14:paraId="69E18E27" w14:textId="3487B768" w:rsidR="00954155" w:rsidRDefault="005D6656" w:rsidP="00954155">
      <w:bookmarkStart w:id="16" w:name="_Ref20657225"/>
      <w:bookmarkStart w:id="17" w:name="_Toc169536368"/>
      <w:r w:rsidRPr="005D6656">
        <w:t>600 people, including citizens and visitors of both cities,</w:t>
      </w:r>
    </w:p>
    <w:p w14:paraId="0323DB8B" w14:textId="634F078D" w:rsidR="00D81857" w:rsidRPr="001354E7" w:rsidRDefault="00D81857" w:rsidP="008269FA">
      <w:pPr>
        <w:pStyle w:val="Heading2"/>
        <w:rPr>
          <w:lang w:val="en-US"/>
        </w:rPr>
      </w:pPr>
      <w:r w:rsidRPr="001354E7">
        <w:rPr>
          <w:lang w:val="en-US"/>
        </w:rPr>
        <w:t xml:space="preserve">Specific </w:t>
      </w:r>
      <w:r w:rsidR="00CA7163" w:rsidRPr="001354E7">
        <w:rPr>
          <w:lang w:val="en-US"/>
        </w:rPr>
        <w:t>work</w:t>
      </w:r>
      <w:bookmarkEnd w:id="16"/>
      <w:bookmarkEnd w:id="17"/>
    </w:p>
    <w:p w14:paraId="71847D85" w14:textId="5432B454" w:rsidR="0047055D" w:rsidRPr="001354E7" w:rsidRDefault="006B43C4" w:rsidP="0047055D">
      <w:pPr>
        <w:spacing w:after="0"/>
        <w:rPr>
          <w:rFonts w:ascii="Times New Roman" w:hAnsi="Times New Roman"/>
          <w:sz w:val="24"/>
          <w:szCs w:val="24"/>
          <w:lang w:val="en-US"/>
        </w:rPr>
      </w:pPr>
      <w:r w:rsidRPr="001354E7">
        <w:rPr>
          <w:rFonts w:ascii="Times New Roman" w:hAnsi="Times New Roman"/>
          <w:sz w:val="24"/>
          <w:szCs w:val="24"/>
          <w:lang w:val="en-US"/>
        </w:rPr>
        <w:t xml:space="preserve">The </w:t>
      </w:r>
      <w:r w:rsidR="001354E7" w:rsidRPr="001354E7">
        <w:rPr>
          <w:rFonts w:ascii="Times New Roman" w:hAnsi="Times New Roman"/>
          <w:sz w:val="24"/>
          <w:szCs w:val="24"/>
          <w:lang w:val="en-US"/>
        </w:rPr>
        <w:t>service</w:t>
      </w:r>
      <w:r w:rsidRPr="001354E7">
        <w:rPr>
          <w:rFonts w:ascii="Times New Roman" w:hAnsi="Times New Roman"/>
          <w:sz w:val="24"/>
          <w:szCs w:val="24"/>
          <w:lang w:val="en-US"/>
        </w:rPr>
        <w:t xml:space="preserve"> provider has to </w:t>
      </w:r>
      <w:r w:rsidR="00561DAB">
        <w:rPr>
          <w:rFonts w:ascii="Times New Roman" w:hAnsi="Times New Roman"/>
          <w:sz w:val="24"/>
          <w:szCs w:val="24"/>
          <w:lang w:val="en-US"/>
        </w:rPr>
        <w:t xml:space="preserve">develop </w:t>
      </w:r>
      <w:r w:rsidRPr="001354E7">
        <w:rPr>
          <w:rFonts w:ascii="Times New Roman" w:hAnsi="Times New Roman"/>
          <w:sz w:val="24"/>
          <w:szCs w:val="24"/>
          <w:lang w:val="en-US"/>
        </w:rPr>
        <w:t xml:space="preserve">a </w:t>
      </w:r>
      <w:r w:rsidR="0047055D" w:rsidRPr="001354E7">
        <w:rPr>
          <w:rFonts w:ascii="Times New Roman" w:hAnsi="Times New Roman"/>
          <w:sz w:val="24"/>
          <w:szCs w:val="24"/>
          <w:lang w:val="en-US"/>
        </w:rPr>
        <w:t xml:space="preserve">Web-based platform Timok-Danube Cycling </w:t>
      </w:r>
      <w:r w:rsidRPr="001354E7">
        <w:rPr>
          <w:rFonts w:ascii="Times New Roman" w:hAnsi="Times New Roman"/>
          <w:sz w:val="24"/>
          <w:szCs w:val="24"/>
          <w:lang w:val="en-US"/>
        </w:rPr>
        <w:t xml:space="preserve">that </w:t>
      </w:r>
      <w:r w:rsidR="0047055D" w:rsidRPr="001354E7">
        <w:rPr>
          <w:rFonts w:ascii="Times New Roman" w:hAnsi="Times New Roman"/>
          <w:sz w:val="24"/>
          <w:szCs w:val="24"/>
          <w:lang w:val="en-US"/>
        </w:rPr>
        <w:t>will be new and innovative tourist’ introduction for Zajecar and Vidin District. It will be a collection of essential and useful tools and information for cyclists</w:t>
      </w:r>
      <w:r w:rsidRPr="001354E7">
        <w:rPr>
          <w:rFonts w:ascii="Times New Roman" w:hAnsi="Times New Roman"/>
          <w:sz w:val="24"/>
          <w:szCs w:val="24"/>
          <w:lang w:val="en-US"/>
        </w:rPr>
        <w:t>.</w:t>
      </w:r>
    </w:p>
    <w:p w14:paraId="6A767007" w14:textId="5CB4A30B" w:rsidR="006B43C4" w:rsidRPr="001354E7" w:rsidRDefault="006B43C4" w:rsidP="0047055D">
      <w:pPr>
        <w:spacing w:after="0"/>
        <w:rPr>
          <w:rFonts w:ascii="Times New Roman" w:hAnsi="Times New Roman"/>
          <w:sz w:val="24"/>
          <w:szCs w:val="24"/>
          <w:lang w:val="en-US"/>
        </w:rPr>
      </w:pPr>
    </w:p>
    <w:p w14:paraId="0B6755C3" w14:textId="6631AB2C" w:rsidR="0047055D" w:rsidRPr="001354E7" w:rsidRDefault="006B43C4" w:rsidP="0047055D">
      <w:pPr>
        <w:spacing w:after="0"/>
        <w:rPr>
          <w:rFonts w:ascii="Times New Roman" w:hAnsi="Times New Roman"/>
          <w:sz w:val="24"/>
          <w:szCs w:val="24"/>
          <w:lang w:val="en-US"/>
        </w:rPr>
      </w:pPr>
      <w:r w:rsidRPr="001354E7">
        <w:rPr>
          <w:rFonts w:ascii="Times New Roman" w:hAnsi="Times New Roman"/>
          <w:sz w:val="24"/>
          <w:szCs w:val="24"/>
          <w:lang w:val="en-US"/>
        </w:rPr>
        <w:t xml:space="preserve">The platform should provide the necessary data about the project as well as all of the relevant data </w:t>
      </w:r>
      <w:r w:rsidR="001354E7" w:rsidRPr="001354E7">
        <w:rPr>
          <w:rFonts w:ascii="Times New Roman" w:hAnsi="Times New Roman"/>
          <w:sz w:val="24"/>
          <w:szCs w:val="24"/>
          <w:lang w:val="en-US"/>
        </w:rPr>
        <w:t xml:space="preserve">needed to fulfil the needs of the target group of cyclists and the contracting authority. To this end the </w:t>
      </w:r>
      <w:r w:rsidR="0047055D" w:rsidRPr="001354E7">
        <w:rPr>
          <w:rFonts w:ascii="Times New Roman" w:hAnsi="Times New Roman"/>
          <w:sz w:val="24"/>
          <w:szCs w:val="24"/>
          <w:lang w:val="en-US"/>
        </w:rPr>
        <w:t>Timok-Danube Cycling Web Platform</w:t>
      </w:r>
      <w:r w:rsidRPr="001354E7">
        <w:rPr>
          <w:rFonts w:ascii="Times New Roman" w:hAnsi="Times New Roman"/>
          <w:sz w:val="24"/>
          <w:szCs w:val="24"/>
          <w:lang w:val="en-US"/>
        </w:rPr>
        <w:t xml:space="preserve"> to be prepared</w:t>
      </w:r>
      <w:r w:rsidR="001354E7" w:rsidRPr="001354E7">
        <w:rPr>
          <w:rFonts w:ascii="Times New Roman" w:hAnsi="Times New Roman"/>
          <w:sz w:val="24"/>
          <w:szCs w:val="24"/>
          <w:lang w:val="en-US"/>
        </w:rPr>
        <w:t xml:space="preserve"> containing the following Indicative Content</w:t>
      </w:r>
      <w:r w:rsidR="0047055D" w:rsidRPr="001354E7">
        <w:rPr>
          <w:rFonts w:ascii="Times New Roman" w:hAnsi="Times New Roman"/>
          <w:sz w:val="24"/>
          <w:szCs w:val="24"/>
          <w:lang w:val="en-US"/>
        </w:rPr>
        <w:t>:</w:t>
      </w:r>
    </w:p>
    <w:p w14:paraId="1651D5F0" w14:textId="77777777" w:rsidR="0047055D" w:rsidRPr="001354E7" w:rsidRDefault="0047055D" w:rsidP="0047055D">
      <w:pPr>
        <w:numPr>
          <w:ilvl w:val="0"/>
          <w:numId w:val="27"/>
        </w:numPr>
        <w:spacing w:after="0"/>
        <w:jc w:val="left"/>
        <w:rPr>
          <w:rFonts w:ascii="Times New Roman" w:hAnsi="Times New Roman"/>
          <w:sz w:val="24"/>
          <w:szCs w:val="24"/>
          <w:lang w:val="en-US"/>
        </w:rPr>
      </w:pPr>
      <w:r w:rsidRPr="001354E7">
        <w:rPr>
          <w:rFonts w:ascii="Times New Roman" w:hAnsi="Times New Roman"/>
          <w:sz w:val="24"/>
          <w:szCs w:val="24"/>
          <w:lang w:val="en-US"/>
        </w:rPr>
        <w:t>Homepage:</w:t>
      </w:r>
    </w:p>
    <w:p w14:paraId="5C891638" w14:textId="77777777" w:rsidR="0047055D" w:rsidRPr="001354E7" w:rsidRDefault="0047055D" w:rsidP="0047055D">
      <w:pPr>
        <w:numPr>
          <w:ilvl w:val="1"/>
          <w:numId w:val="27"/>
        </w:numPr>
        <w:spacing w:after="0"/>
        <w:jc w:val="left"/>
        <w:rPr>
          <w:rFonts w:ascii="Times New Roman" w:hAnsi="Times New Roman"/>
          <w:sz w:val="24"/>
          <w:szCs w:val="24"/>
          <w:lang w:val="en-US"/>
        </w:rPr>
      </w:pPr>
      <w:r w:rsidRPr="001354E7">
        <w:rPr>
          <w:rFonts w:ascii="Times New Roman" w:hAnsi="Times New Roman"/>
          <w:sz w:val="24"/>
          <w:szCs w:val="24"/>
          <w:lang w:val="en-US"/>
        </w:rPr>
        <w:t>Captivating visuals showcasing the beauty of the region and cycling experiences.</w:t>
      </w:r>
    </w:p>
    <w:p w14:paraId="12263C39" w14:textId="77777777" w:rsidR="0047055D" w:rsidRPr="001354E7" w:rsidRDefault="0047055D" w:rsidP="0047055D">
      <w:pPr>
        <w:numPr>
          <w:ilvl w:val="1"/>
          <w:numId w:val="27"/>
        </w:numPr>
        <w:spacing w:after="0"/>
        <w:jc w:val="left"/>
        <w:rPr>
          <w:rFonts w:ascii="Times New Roman" w:hAnsi="Times New Roman"/>
          <w:sz w:val="24"/>
          <w:szCs w:val="24"/>
          <w:lang w:val="en-US"/>
        </w:rPr>
      </w:pPr>
      <w:r w:rsidRPr="001354E7">
        <w:rPr>
          <w:rFonts w:ascii="Times New Roman" w:hAnsi="Times New Roman"/>
          <w:sz w:val="24"/>
          <w:szCs w:val="24"/>
          <w:lang w:val="en-US"/>
        </w:rPr>
        <w:t>Clear overview of the project, its goals, and target audience.</w:t>
      </w:r>
    </w:p>
    <w:p w14:paraId="5FE118A4" w14:textId="77777777" w:rsidR="0047055D" w:rsidRPr="001354E7" w:rsidRDefault="0047055D" w:rsidP="0047055D">
      <w:pPr>
        <w:numPr>
          <w:ilvl w:val="1"/>
          <w:numId w:val="27"/>
        </w:numPr>
        <w:spacing w:after="0"/>
        <w:jc w:val="left"/>
        <w:rPr>
          <w:rFonts w:ascii="Times New Roman" w:hAnsi="Times New Roman"/>
          <w:sz w:val="24"/>
          <w:szCs w:val="24"/>
          <w:lang w:val="en-US"/>
        </w:rPr>
      </w:pPr>
      <w:r w:rsidRPr="001354E7">
        <w:rPr>
          <w:rFonts w:ascii="Times New Roman" w:hAnsi="Times New Roman"/>
          <w:sz w:val="24"/>
          <w:szCs w:val="24"/>
          <w:lang w:val="en-US"/>
        </w:rPr>
        <w:t>Interactive map highlighting key cycling routes and tourist attractions.</w:t>
      </w:r>
    </w:p>
    <w:p w14:paraId="597B45C9" w14:textId="77777777" w:rsidR="0047055D" w:rsidRPr="001354E7" w:rsidRDefault="0047055D" w:rsidP="0047055D">
      <w:pPr>
        <w:numPr>
          <w:ilvl w:val="1"/>
          <w:numId w:val="27"/>
        </w:numPr>
        <w:spacing w:after="0"/>
        <w:jc w:val="left"/>
        <w:rPr>
          <w:rFonts w:ascii="Times New Roman" w:hAnsi="Times New Roman"/>
          <w:sz w:val="24"/>
          <w:szCs w:val="24"/>
          <w:lang w:val="sr-Latn-RS"/>
        </w:rPr>
      </w:pPr>
      <w:r w:rsidRPr="001354E7">
        <w:rPr>
          <w:rFonts w:ascii="Times New Roman" w:hAnsi="Times New Roman"/>
          <w:sz w:val="24"/>
          <w:szCs w:val="24"/>
          <w:lang w:val="en-US"/>
        </w:rPr>
        <w:t>Easy access to key sections like "Routes," "Attractions," and "Planning Your</w:t>
      </w:r>
      <w:r w:rsidRPr="001354E7">
        <w:rPr>
          <w:rFonts w:ascii="Times New Roman" w:hAnsi="Times New Roman"/>
          <w:sz w:val="24"/>
          <w:szCs w:val="24"/>
          <w:lang w:val="sr-Latn-RS"/>
        </w:rPr>
        <w:t xml:space="preserve"> Trip."</w:t>
      </w:r>
    </w:p>
    <w:p w14:paraId="693113AC" w14:textId="77777777" w:rsidR="0047055D" w:rsidRPr="006E261D" w:rsidRDefault="0047055D" w:rsidP="0047055D">
      <w:pPr>
        <w:numPr>
          <w:ilvl w:val="0"/>
          <w:numId w:val="27"/>
        </w:numPr>
        <w:spacing w:after="0"/>
        <w:jc w:val="left"/>
        <w:rPr>
          <w:rFonts w:ascii="Times New Roman" w:hAnsi="Times New Roman"/>
          <w:sz w:val="24"/>
          <w:szCs w:val="24"/>
        </w:rPr>
      </w:pPr>
      <w:r w:rsidRPr="006E261D">
        <w:rPr>
          <w:rFonts w:ascii="Times New Roman" w:hAnsi="Times New Roman"/>
          <w:sz w:val="24"/>
          <w:szCs w:val="24"/>
        </w:rPr>
        <w:t>Routes:</w:t>
      </w:r>
    </w:p>
    <w:p w14:paraId="1ACC9DA8" w14:textId="463D2D90"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 xml:space="preserve">Detailed descriptions of all 10 </w:t>
      </w:r>
      <w:r w:rsidR="001354E7">
        <w:rPr>
          <w:rFonts w:ascii="Times New Roman" w:hAnsi="Times New Roman"/>
          <w:sz w:val="24"/>
          <w:szCs w:val="24"/>
        </w:rPr>
        <w:t xml:space="preserve">developed </w:t>
      </w:r>
      <w:r w:rsidRPr="006E261D">
        <w:rPr>
          <w:rFonts w:ascii="Times New Roman" w:hAnsi="Times New Roman"/>
          <w:sz w:val="24"/>
          <w:szCs w:val="24"/>
        </w:rPr>
        <w:t>thematic bike routes, including difficulty level, distance, and elevation.</w:t>
      </w:r>
      <w:r>
        <w:rPr>
          <w:rFonts w:ascii="Times New Roman" w:hAnsi="Times New Roman"/>
          <w:sz w:val="24"/>
          <w:szCs w:val="24"/>
        </w:rPr>
        <w:t xml:space="preserve"> </w:t>
      </w:r>
    </w:p>
    <w:p w14:paraId="36C8E649" w14:textId="4974C8D6"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Downloadable GPX files</w:t>
      </w:r>
      <w:r w:rsidR="001354E7">
        <w:rPr>
          <w:rFonts w:ascii="Times New Roman" w:hAnsi="Times New Roman"/>
          <w:sz w:val="24"/>
          <w:szCs w:val="24"/>
        </w:rPr>
        <w:t xml:space="preserve"> prepared for each route</w:t>
      </w:r>
      <w:r w:rsidRPr="006E261D">
        <w:rPr>
          <w:rFonts w:ascii="Times New Roman" w:hAnsi="Times New Roman"/>
          <w:sz w:val="24"/>
          <w:szCs w:val="24"/>
        </w:rPr>
        <w:t xml:space="preserve"> and links to mobile cycling apps for route navigation.</w:t>
      </w:r>
    </w:p>
    <w:p w14:paraId="54375775" w14:textId="25AB86AC"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lastRenderedPageBreak/>
        <w:t>High-quality photos and videos</w:t>
      </w:r>
      <w:r w:rsidR="001354E7">
        <w:rPr>
          <w:rFonts w:ascii="Times New Roman" w:hAnsi="Times New Roman"/>
          <w:sz w:val="24"/>
          <w:szCs w:val="24"/>
        </w:rPr>
        <w:t xml:space="preserve"> prepared to showcase the </w:t>
      </w:r>
      <w:r w:rsidRPr="006E261D">
        <w:rPr>
          <w:rFonts w:ascii="Times New Roman" w:hAnsi="Times New Roman"/>
          <w:sz w:val="24"/>
          <w:szCs w:val="24"/>
        </w:rPr>
        <w:t>highlights along each route.</w:t>
      </w:r>
    </w:p>
    <w:p w14:paraId="6A2314A5" w14:textId="2DD8C011" w:rsidR="0047055D" w:rsidRDefault="001354E7" w:rsidP="0047055D">
      <w:pPr>
        <w:numPr>
          <w:ilvl w:val="1"/>
          <w:numId w:val="27"/>
        </w:numPr>
        <w:spacing w:after="0"/>
        <w:jc w:val="left"/>
        <w:rPr>
          <w:rFonts w:ascii="Times New Roman" w:hAnsi="Times New Roman"/>
          <w:sz w:val="24"/>
          <w:szCs w:val="24"/>
        </w:rPr>
      </w:pPr>
      <w:r>
        <w:rPr>
          <w:rFonts w:ascii="Times New Roman" w:hAnsi="Times New Roman"/>
          <w:sz w:val="24"/>
          <w:szCs w:val="24"/>
        </w:rPr>
        <w:t xml:space="preserve">Prepared </w:t>
      </w:r>
      <w:r w:rsidR="0047055D" w:rsidRPr="006E261D">
        <w:rPr>
          <w:rFonts w:ascii="Times New Roman" w:hAnsi="Times New Roman"/>
          <w:sz w:val="24"/>
          <w:szCs w:val="24"/>
        </w:rPr>
        <w:t>Information on rest stops, bike-friendly accommodation, and points of interest.</w:t>
      </w:r>
    </w:p>
    <w:p w14:paraId="223FFE60" w14:textId="38FBC86A" w:rsidR="00295C99" w:rsidRPr="00295C99" w:rsidRDefault="00295C99" w:rsidP="00295C99">
      <w:pPr>
        <w:numPr>
          <w:ilvl w:val="1"/>
          <w:numId w:val="27"/>
        </w:numPr>
        <w:spacing w:after="0"/>
        <w:jc w:val="left"/>
        <w:rPr>
          <w:rFonts w:ascii="Times New Roman" w:hAnsi="Times New Roman"/>
          <w:sz w:val="24"/>
          <w:szCs w:val="24"/>
        </w:rPr>
      </w:pPr>
      <w:r w:rsidRPr="00295C99">
        <w:rPr>
          <w:rFonts w:ascii="Times New Roman" w:hAnsi="Times New Roman"/>
          <w:sz w:val="24"/>
          <w:szCs w:val="24"/>
        </w:rPr>
        <w:t xml:space="preserve">The service provider has to prepare (film, render, cut, edit, publish etc) all of the photos, videos, descriptions, analysis and data in a manner that will suit the intended goal and function of the website.  </w:t>
      </w:r>
    </w:p>
    <w:p w14:paraId="6F4D2484" w14:textId="6FF8B5AD" w:rsidR="001354E7" w:rsidRPr="006E261D" w:rsidRDefault="001354E7" w:rsidP="00295C99">
      <w:pPr>
        <w:spacing w:after="0"/>
        <w:ind w:left="1080"/>
        <w:jc w:val="left"/>
        <w:rPr>
          <w:rFonts w:ascii="Times New Roman" w:hAnsi="Times New Roman"/>
          <w:sz w:val="24"/>
          <w:szCs w:val="24"/>
        </w:rPr>
      </w:pPr>
    </w:p>
    <w:p w14:paraId="5EDBE26B" w14:textId="77777777" w:rsidR="0047055D" w:rsidRPr="006E261D" w:rsidRDefault="0047055D" w:rsidP="0047055D">
      <w:pPr>
        <w:numPr>
          <w:ilvl w:val="0"/>
          <w:numId w:val="27"/>
        </w:numPr>
        <w:spacing w:after="0"/>
        <w:jc w:val="left"/>
        <w:rPr>
          <w:rFonts w:ascii="Times New Roman" w:hAnsi="Times New Roman"/>
          <w:sz w:val="24"/>
          <w:szCs w:val="24"/>
        </w:rPr>
      </w:pPr>
      <w:r w:rsidRPr="006E261D">
        <w:rPr>
          <w:rFonts w:ascii="Times New Roman" w:hAnsi="Times New Roman"/>
          <w:sz w:val="24"/>
          <w:szCs w:val="24"/>
        </w:rPr>
        <w:t>Attractions:</w:t>
      </w:r>
    </w:p>
    <w:p w14:paraId="348A12F7" w14:textId="1FA6F783"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 xml:space="preserve">In-depth information on the 20 main tourist attractions </w:t>
      </w:r>
      <w:r w:rsidR="001354E7">
        <w:rPr>
          <w:rFonts w:ascii="Times New Roman" w:hAnsi="Times New Roman"/>
          <w:sz w:val="24"/>
          <w:szCs w:val="24"/>
        </w:rPr>
        <w:t xml:space="preserve">identified </w:t>
      </w:r>
      <w:r w:rsidRPr="006E261D">
        <w:rPr>
          <w:rFonts w:ascii="Times New Roman" w:hAnsi="Times New Roman"/>
          <w:sz w:val="24"/>
          <w:szCs w:val="24"/>
        </w:rPr>
        <w:t>in the Vidin and Zaječar districts.</w:t>
      </w:r>
    </w:p>
    <w:p w14:paraId="30065D61" w14:textId="4F4456A2"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Descriptions of historical sites, cultural landmarks, and natural wonders</w:t>
      </w:r>
      <w:r w:rsidR="001354E7">
        <w:rPr>
          <w:rFonts w:ascii="Times New Roman" w:hAnsi="Times New Roman"/>
          <w:sz w:val="24"/>
          <w:szCs w:val="24"/>
        </w:rPr>
        <w:t xml:space="preserve"> prepared</w:t>
      </w:r>
      <w:r w:rsidRPr="006E261D">
        <w:rPr>
          <w:rFonts w:ascii="Times New Roman" w:hAnsi="Times New Roman"/>
          <w:sz w:val="24"/>
          <w:szCs w:val="24"/>
        </w:rPr>
        <w:t>.</w:t>
      </w:r>
    </w:p>
    <w:p w14:paraId="7F392F4C"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Details on accessibility for cyclists, including parking facilities and recommended cycling routes.</w:t>
      </w:r>
    </w:p>
    <w:p w14:paraId="4FD86760" w14:textId="095FA964" w:rsidR="0047055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Information on opening hours, entrance fees, and nearby amenities (restaurants, restrooms).</w:t>
      </w:r>
    </w:p>
    <w:p w14:paraId="03C59928" w14:textId="3FBED061" w:rsidR="00295C99" w:rsidRPr="006E261D" w:rsidRDefault="00295C99" w:rsidP="0047055D">
      <w:pPr>
        <w:numPr>
          <w:ilvl w:val="1"/>
          <w:numId w:val="27"/>
        </w:numPr>
        <w:spacing w:after="0"/>
        <w:jc w:val="left"/>
        <w:rPr>
          <w:rFonts w:ascii="Times New Roman" w:hAnsi="Times New Roman"/>
          <w:sz w:val="24"/>
          <w:szCs w:val="24"/>
        </w:rPr>
      </w:pPr>
      <w:r w:rsidRPr="00295C99">
        <w:rPr>
          <w:rFonts w:ascii="Times New Roman" w:hAnsi="Times New Roman"/>
          <w:sz w:val="24"/>
          <w:szCs w:val="24"/>
        </w:rPr>
        <w:t>The service provider has to prepare (film, render, cut, edit, publish etc) all of the photos, videos, descriptions, analysis and data in a manner that will suit the intended goal and function of the website</w:t>
      </w:r>
    </w:p>
    <w:p w14:paraId="3C02B5F3" w14:textId="77777777" w:rsidR="0047055D" w:rsidRPr="006E261D" w:rsidRDefault="0047055D" w:rsidP="0047055D">
      <w:pPr>
        <w:numPr>
          <w:ilvl w:val="0"/>
          <w:numId w:val="27"/>
        </w:numPr>
        <w:spacing w:after="0"/>
        <w:jc w:val="left"/>
        <w:rPr>
          <w:rFonts w:ascii="Times New Roman" w:hAnsi="Times New Roman"/>
          <w:sz w:val="24"/>
          <w:szCs w:val="24"/>
        </w:rPr>
      </w:pPr>
      <w:r w:rsidRPr="006E261D">
        <w:rPr>
          <w:rFonts w:ascii="Times New Roman" w:hAnsi="Times New Roman"/>
          <w:sz w:val="24"/>
          <w:szCs w:val="24"/>
        </w:rPr>
        <w:t>Planning Your Trip:</w:t>
      </w:r>
    </w:p>
    <w:p w14:paraId="4F0B1094"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Interactive trip planner to help cyclists create customized itineraries.</w:t>
      </w:r>
    </w:p>
    <w:p w14:paraId="7687EDC8"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 xml:space="preserve">Accommodation listings </w:t>
      </w:r>
    </w:p>
    <w:p w14:paraId="57BA00B3"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 xml:space="preserve">Restaurant and wineries recommendations </w:t>
      </w:r>
    </w:p>
    <w:p w14:paraId="15B9B45D"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Information on bicycle rental services, repair shops, and local cycling clubs.</w:t>
      </w:r>
    </w:p>
    <w:p w14:paraId="10490564"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Downloadable resources like maps, brochures, and safety tips.</w:t>
      </w:r>
    </w:p>
    <w:p w14:paraId="5C608A3E" w14:textId="77777777" w:rsidR="0047055D" w:rsidRPr="006E261D" w:rsidRDefault="0047055D" w:rsidP="0047055D">
      <w:pPr>
        <w:numPr>
          <w:ilvl w:val="0"/>
          <w:numId w:val="27"/>
        </w:numPr>
        <w:spacing w:after="0"/>
        <w:jc w:val="left"/>
        <w:rPr>
          <w:rFonts w:ascii="Times New Roman" w:hAnsi="Times New Roman"/>
          <w:sz w:val="24"/>
          <w:szCs w:val="24"/>
        </w:rPr>
      </w:pPr>
      <w:r w:rsidRPr="006E261D">
        <w:rPr>
          <w:rFonts w:ascii="Times New Roman" w:hAnsi="Times New Roman"/>
          <w:sz w:val="24"/>
          <w:szCs w:val="24"/>
        </w:rPr>
        <w:t>Additional Features:</w:t>
      </w:r>
    </w:p>
    <w:p w14:paraId="7EA46036"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Engaging blog section with articles on cycling tips, regional events, and cultural insights.</w:t>
      </w:r>
    </w:p>
    <w:p w14:paraId="030BE2D8" w14:textId="77777777" w:rsidR="0047055D" w:rsidRPr="006E261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Social media integration (Facebook, Instagram) for promoting the platform and user engagement.</w:t>
      </w:r>
    </w:p>
    <w:p w14:paraId="7A0A293E" w14:textId="77777777" w:rsidR="0047055D" w:rsidRPr="006E261D" w:rsidRDefault="0047055D" w:rsidP="0047055D">
      <w:pPr>
        <w:numPr>
          <w:ilvl w:val="0"/>
          <w:numId w:val="27"/>
        </w:numPr>
        <w:spacing w:after="0"/>
        <w:jc w:val="left"/>
        <w:rPr>
          <w:rFonts w:ascii="Times New Roman" w:hAnsi="Times New Roman"/>
          <w:sz w:val="24"/>
          <w:szCs w:val="24"/>
        </w:rPr>
      </w:pPr>
      <w:r w:rsidRPr="006E261D">
        <w:rPr>
          <w:rFonts w:ascii="Times New Roman" w:hAnsi="Times New Roman"/>
          <w:sz w:val="24"/>
          <w:szCs w:val="24"/>
        </w:rPr>
        <w:t>Multilingual Platform:</w:t>
      </w:r>
    </w:p>
    <w:p w14:paraId="72DD393E" w14:textId="78A6BB47" w:rsidR="0047055D" w:rsidRDefault="0047055D" w:rsidP="0047055D">
      <w:pPr>
        <w:numPr>
          <w:ilvl w:val="1"/>
          <w:numId w:val="27"/>
        </w:numPr>
        <w:spacing w:after="0"/>
        <w:jc w:val="left"/>
        <w:rPr>
          <w:rFonts w:ascii="Times New Roman" w:hAnsi="Times New Roman"/>
          <w:sz w:val="24"/>
          <w:szCs w:val="24"/>
        </w:rPr>
      </w:pPr>
      <w:r w:rsidRPr="006E261D">
        <w:rPr>
          <w:rFonts w:ascii="Times New Roman" w:hAnsi="Times New Roman"/>
          <w:sz w:val="24"/>
          <w:szCs w:val="24"/>
        </w:rPr>
        <w:t>Ensure all content is available in Bulgarian (BG), Serbian (SER), and English (ENG) to rich to a broad international audience.</w:t>
      </w:r>
    </w:p>
    <w:p w14:paraId="23BC9BD2" w14:textId="77777777" w:rsidR="00295C99" w:rsidRPr="00295C99" w:rsidRDefault="00295C99" w:rsidP="00295C99">
      <w:pPr>
        <w:rPr>
          <w:rFonts w:ascii="Times New Roman" w:hAnsi="Times New Roman"/>
        </w:rPr>
      </w:pPr>
    </w:p>
    <w:p w14:paraId="15B28615" w14:textId="32ACE3D5" w:rsidR="00295C99" w:rsidRPr="00295C99" w:rsidRDefault="00295C99" w:rsidP="00295C99">
      <w:pPr>
        <w:rPr>
          <w:rFonts w:ascii="Times New Roman" w:hAnsi="Times New Roman"/>
          <w:sz w:val="24"/>
          <w:szCs w:val="24"/>
        </w:rPr>
      </w:pPr>
      <w:r w:rsidRPr="00295C99">
        <w:rPr>
          <w:rFonts w:ascii="Times New Roman" w:hAnsi="Times New Roman"/>
          <w:sz w:val="24"/>
          <w:szCs w:val="24"/>
        </w:rPr>
        <w:t>The service provider will transfer all of the administrative rights</w:t>
      </w:r>
      <w:r>
        <w:rPr>
          <w:rFonts w:ascii="Times New Roman" w:hAnsi="Times New Roman"/>
          <w:sz w:val="24"/>
          <w:szCs w:val="24"/>
        </w:rPr>
        <w:t xml:space="preserve"> and access parameters</w:t>
      </w:r>
      <w:r w:rsidRPr="00295C99">
        <w:rPr>
          <w:rFonts w:ascii="Times New Roman" w:hAnsi="Times New Roman"/>
          <w:sz w:val="24"/>
          <w:szCs w:val="24"/>
        </w:rPr>
        <w:t xml:space="preserve"> to the Contracting authority for making any necessary additional changes, updates or any additional content upload to the platform. </w:t>
      </w:r>
    </w:p>
    <w:p w14:paraId="13D93D71" w14:textId="77777777" w:rsidR="00295C99" w:rsidRPr="006E261D" w:rsidRDefault="00295C99" w:rsidP="00295C99">
      <w:pPr>
        <w:spacing w:after="0"/>
        <w:jc w:val="left"/>
        <w:rPr>
          <w:rFonts w:ascii="Times New Roman" w:hAnsi="Times New Roman"/>
          <w:sz w:val="24"/>
          <w:szCs w:val="24"/>
        </w:rPr>
      </w:pPr>
    </w:p>
    <w:p w14:paraId="5A9FF94E" w14:textId="42397C67" w:rsidR="00D81857" w:rsidRPr="0063749B" w:rsidRDefault="00D81857" w:rsidP="008269FA">
      <w:pPr>
        <w:pStyle w:val="Heading2"/>
      </w:pPr>
      <w:bookmarkStart w:id="18" w:name="_Ref530906824"/>
      <w:bookmarkStart w:id="19" w:name="_Toc169536369"/>
      <w:r w:rsidRPr="0063749B">
        <w:t>Project management</w:t>
      </w:r>
      <w:bookmarkEnd w:id="18"/>
      <w:bookmarkEnd w:id="19"/>
    </w:p>
    <w:p w14:paraId="462BFA9B" w14:textId="77777777" w:rsidR="00D81857" w:rsidRPr="0063749B" w:rsidRDefault="00D81857" w:rsidP="008A13C7">
      <w:pPr>
        <w:pStyle w:val="Heading3"/>
      </w:pPr>
      <w:r w:rsidRPr="0063749B">
        <w:t>Responsible body</w:t>
      </w:r>
    </w:p>
    <w:p w14:paraId="5C4EBCC4" w14:textId="26B6CA2D" w:rsidR="001E3034" w:rsidRPr="0063749B" w:rsidRDefault="001E3034" w:rsidP="001E3034">
      <w:pPr>
        <w:rPr>
          <w:rFonts w:ascii="Times New Roman" w:hAnsi="Times New Roman"/>
          <w:sz w:val="22"/>
          <w:szCs w:val="22"/>
        </w:rPr>
      </w:pPr>
      <w:r w:rsidRPr="0099089C">
        <w:rPr>
          <w:rFonts w:ascii="Times New Roman" w:hAnsi="Times New Roman"/>
          <w:sz w:val="22"/>
          <w:szCs w:val="22"/>
        </w:rPr>
        <w:t xml:space="preserve">The Project Management Unit from </w:t>
      </w:r>
      <w:r>
        <w:rPr>
          <w:rFonts w:ascii="Times New Roman" w:hAnsi="Times New Roman"/>
          <w:sz w:val="22"/>
          <w:szCs w:val="22"/>
        </w:rPr>
        <w:t>Institute for Cross Border Areas</w:t>
      </w:r>
      <w:r w:rsidRPr="0099089C">
        <w:rPr>
          <w:rFonts w:ascii="Times New Roman" w:hAnsi="Times New Roman"/>
          <w:sz w:val="22"/>
          <w:szCs w:val="22"/>
        </w:rPr>
        <w:t xml:space="preserve"> is responsible for managing this Contract on behalf of the Contracting Authority</w:t>
      </w:r>
    </w:p>
    <w:p w14:paraId="668FE4E0" w14:textId="77777777" w:rsidR="00D81857" w:rsidRPr="0063749B" w:rsidRDefault="00D81857" w:rsidP="008A13C7">
      <w:pPr>
        <w:pStyle w:val="Heading3"/>
      </w:pPr>
      <w:r w:rsidRPr="0063749B">
        <w:t>Management structure</w:t>
      </w:r>
    </w:p>
    <w:p w14:paraId="3CADB556" w14:textId="4C75EC4A" w:rsidR="001E3034" w:rsidRPr="0063749B" w:rsidRDefault="00D81857" w:rsidP="001E3034">
      <w:pPr>
        <w:rPr>
          <w:rFonts w:ascii="Times New Roman" w:hAnsi="Times New Roman"/>
          <w:sz w:val="22"/>
          <w:szCs w:val="22"/>
        </w:rPr>
      </w:pPr>
      <w:r w:rsidRPr="0063749B">
        <w:rPr>
          <w:rFonts w:ascii="Times New Roman" w:hAnsi="Times New Roman"/>
          <w:sz w:val="22"/>
          <w:szCs w:val="22"/>
        </w:rPr>
        <w:t xml:space="preserve"> </w:t>
      </w:r>
      <w:r w:rsidR="001E3034" w:rsidRPr="00CF7962">
        <w:rPr>
          <w:rFonts w:ascii="Times New Roman" w:hAnsi="Times New Roman"/>
          <w:sz w:val="22"/>
          <w:szCs w:val="22"/>
        </w:rPr>
        <w:t xml:space="preserve">The responsible person for implementation of the tasks related to this contract, in the Contracting Authority is Mr </w:t>
      </w:r>
      <w:r w:rsidR="001E3034">
        <w:rPr>
          <w:rFonts w:ascii="Times New Roman" w:hAnsi="Times New Roman"/>
          <w:sz w:val="22"/>
          <w:szCs w:val="22"/>
        </w:rPr>
        <w:t>Zoran Milovanović</w:t>
      </w:r>
      <w:r w:rsidR="001E3034" w:rsidRPr="00CF7962">
        <w:rPr>
          <w:rFonts w:ascii="Times New Roman" w:hAnsi="Times New Roman"/>
          <w:sz w:val="22"/>
          <w:szCs w:val="22"/>
        </w:rPr>
        <w:t xml:space="preserve">, project manager </w:t>
      </w:r>
      <w:r w:rsidR="001E3034">
        <w:rPr>
          <w:rFonts w:ascii="Times New Roman" w:hAnsi="Times New Roman"/>
          <w:sz w:val="22"/>
          <w:szCs w:val="22"/>
        </w:rPr>
        <w:t>for Institute For Cross Border Areas - ICBA</w:t>
      </w:r>
      <w:r w:rsidR="001E3034" w:rsidRPr="00CF7962">
        <w:rPr>
          <w:rFonts w:ascii="Times New Roman" w:hAnsi="Times New Roman"/>
          <w:sz w:val="22"/>
          <w:szCs w:val="22"/>
        </w:rPr>
        <w:t>.</w:t>
      </w:r>
    </w:p>
    <w:p w14:paraId="3DB76BEE" w14:textId="77777777" w:rsidR="00D81857" w:rsidRPr="0063749B" w:rsidRDefault="00D81857" w:rsidP="008A13C7">
      <w:pPr>
        <w:pStyle w:val="Heading3"/>
      </w:pPr>
      <w:r w:rsidRPr="0063749B">
        <w:lastRenderedPageBreak/>
        <w:t xml:space="preserve">Facilities to be provided by the </w:t>
      </w:r>
      <w:r w:rsidR="00E21553">
        <w:t>c</w:t>
      </w:r>
      <w:r w:rsidRPr="0063749B">
        <w:t xml:space="preserve">ontracting </w:t>
      </w:r>
      <w:r w:rsidR="00E21553">
        <w:t>a</w:t>
      </w:r>
      <w:r w:rsidRPr="0063749B">
        <w:t>uthority and/or other parties</w:t>
      </w:r>
    </w:p>
    <w:p w14:paraId="40B44C5F" w14:textId="508FCB46" w:rsidR="00D81857" w:rsidRPr="0063749B" w:rsidRDefault="00D81857" w:rsidP="001E3034">
      <w:pPr>
        <w:pStyle w:val="Heading3"/>
        <w:numPr>
          <w:ilvl w:val="0"/>
          <w:numId w:val="0"/>
        </w:numPr>
      </w:pPr>
      <w:r w:rsidRPr="0063749B">
        <w:t xml:space="preserve"> </w:t>
      </w:r>
      <w:r w:rsidR="001E3034" w:rsidRPr="00CF7962">
        <w:rPr>
          <w:b w:val="0"/>
        </w:rPr>
        <w:t>The Contracting Authority will provide all necessary data and information related to implementation of this Contract.</w:t>
      </w:r>
    </w:p>
    <w:p w14:paraId="5FE2BA37" w14:textId="648FEC85" w:rsidR="00D81857" w:rsidRPr="0063749B" w:rsidRDefault="00D81857" w:rsidP="008A65FE">
      <w:pPr>
        <w:pStyle w:val="Heading1"/>
      </w:pPr>
      <w:bookmarkStart w:id="20" w:name="_Toc169536370"/>
      <w:r w:rsidRPr="0063749B">
        <w:t>LOGISTICS AND TIMING</w:t>
      </w:r>
      <w:bookmarkEnd w:id="20"/>
    </w:p>
    <w:p w14:paraId="180ECACA" w14:textId="77777777" w:rsidR="00D81857" w:rsidRPr="0063749B" w:rsidRDefault="00D81857" w:rsidP="008269FA">
      <w:pPr>
        <w:pStyle w:val="Heading2"/>
      </w:pPr>
      <w:bookmarkStart w:id="21" w:name="_Toc169536371"/>
      <w:r w:rsidRPr="0063749B">
        <w:t>Location</w:t>
      </w:r>
      <w:bookmarkEnd w:id="21"/>
    </w:p>
    <w:p w14:paraId="232BBC27" w14:textId="28119A61" w:rsidR="001E3034" w:rsidRPr="0063749B" w:rsidRDefault="001E3034" w:rsidP="001E3034">
      <w:pPr>
        <w:rPr>
          <w:rFonts w:ascii="Times New Roman" w:hAnsi="Times New Roman"/>
          <w:sz w:val="22"/>
          <w:szCs w:val="22"/>
        </w:rPr>
      </w:pPr>
      <w:r w:rsidRPr="00CF7962">
        <w:rPr>
          <w:rFonts w:ascii="Times New Roman" w:hAnsi="Times New Roman"/>
          <w:sz w:val="22"/>
          <w:szCs w:val="22"/>
        </w:rPr>
        <w:t xml:space="preserve">The project </w:t>
      </w:r>
      <w:r>
        <w:rPr>
          <w:rFonts w:ascii="Times New Roman" w:hAnsi="Times New Roman"/>
          <w:sz w:val="22"/>
          <w:szCs w:val="22"/>
        </w:rPr>
        <w:t xml:space="preserve">activities related to this Contract </w:t>
      </w:r>
      <w:r w:rsidRPr="00CF7962">
        <w:rPr>
          <w:rFonts w:ascii="Times New Roman" w:hAnsi="Times New Roman"/>
          <w:sz w:val="22"/>
          <w:szCs w:val="22"/>
        </w:rPr>
        <w:t xml:space="preserve">will be realized </w:t>
      </w:r>
      <w:r>
        <w:rPr>
          <w:rFonts w:ascii="Times New Roman" w:hAnsi="Times New Roman"/>
          <w:sz w:val="22"/>
          <w:szCs w:val="22"/>
        </w:rPr>
        <w:t xml:space="preserve">in the territory covered by the Municipality of Knjaževac, City of Zaječar and City of Vidin. </w:t>
      </w:r>
      <w:r w:rsidRPr="00CF7962">
        <w:rPr>
          <w:rFonts w:ascii="Times New Roman" w:hAnsi="Times New Roman"/>
          <w:sz w:val="22"/>
          <w:szCs w:val="22"/>
        </w:rPr>
        <w:t xml:space="preserve"> </w:t>
      </w:r>
    </w:p>
    <w:p w14:paraId="636BECA6" w14:textId="77777777" w:rsidR="00D81857" w:rsidRPr="0063749B" w:rsidRDefault="00875B1B" w:rsidP="008269FA">
      <w:pPr>
        <w:pStyle w:val="Heading2"/>
      </w:pPr>
      <w:bookmarkStart w:id="22"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728ABE72"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1E3034">
        <w:rPr>
          <w:rFonts w:ascii="Times New Roman" w:hAnsi="Times New Roman"/>
          <w:sz w:val="22"/>
          <w:szCs w:val="22"/>
        </w:rPr>
        <w:t>the date of signing of the Contract</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1E3034">
        <w:rPr>
          <w:rFonts w:ascii="Times New Roman" w:hAnsi="Times New Roman"/>
          <w:sz w:val="22"/>
          <w:szCs w:val="22"/>
        </w:rPr>
        <w:t xml:space="preserve"> 2</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w:t>
      </w:r>
      <w:r w:rsidR="00F063F5" w:rsidRPr="005D6656">
        <w:rPr>
          <w:rFonts w:ascii="Times New Roman" w:hAnsi="Times New Roman"/>
          <w:bCs/>
          <w:sz w:val="22"/>
          <w:szCs w:val="22"/>
        </w:rPr>
        <w:t>point 3 of the main conditions</w:t>
      </w:r>
      <w:r w:rsidRPr="005D6656">
        <w:rPr>
          <w:rFonts w:ascii="Times New Roman" w:hAnsi="Times New Roman"/>
          <w:sz w:val="22"/>
          <w:szCs w:val="22"/>
        </w:rPr>
        <w:t xml:space="preserve"> for the actual </w:t>
      </w:r>
      <w:r w:rsidR="00875B1B" w:rsidRPr="005D6656">
        <w:rPr>
          <w:rFonts w:ascii="Times New Roman" w:hAnsi="Times New Roman"/>
          <w:sz w:val="22"/>
          <w:szCs w:val="22"/>
        </w:rPr>
        <w:t>start</w:t>
      </w:r>
      <w:r w:rsidRPr="005D6656">
        <w:rPr>
          <w:rFonts w:ascii="Times New Roman" w:hAnsi="Times New Roman"/>
          <w:sz w:val="22"/>
          <w:szCs w:val="22"/>
        </w:rPr>
        <w:t xml:space="preserve"> date and period of </w:t>
      </w:r>
      <w:r w:rsidR="006B423E" w:rsidRPr="005D6656">
        <w:rPr>
          <w:rFonts w:ascii="Times New Roman" w:hAnsi="Times New Roman"/>
          <w:sz w:val="22"/>
          <w:szCs w:val="22"/>
        </w:rPr>
        <w:t>implementation</w:t>
      </w:r>
      <w:r w:rsidR="00212FA5" w:rsidRPr="005D6656">
        <w:rPr>
          <w:rFonts w:ascii="Times New Roman" w:hAnsi="Times New Roman"/>
          <w:sz w:val="22"/>
          <w:szCs w:val="22"/>
        </w:rPr>
        <w:t>.</w:t>
      </w:r>
    </w:p>
    <w:p w14:paraId="16246341" w14:textId="77777777" w:rsidR="00D81857" w:rsidRPr="0063749B" w:rsidRDefault="00D81857" w:rsidP="008A65FE">
      <w:pPr>
        <w:pStyle w:val="Heading1"/>
      </w:pPr>
      <w:bookmarkStart w:id="23" w:name="_Toc169536373"/>
      <w:r w:rsidRPr="0063749B">
        <w:t>REQUIREMENTS</w:t>
      </w:r>
      <w:bookmarkEnd w:id="23"/>
    </w:p>
    <w:p w14:paraId="0D0081B8" w14:textId="72238171" w:rsidR="00D81857" w:rsidRDefault="001D05A6" w:rsidP="008269FA">
      <w:pPr>
        <w:pStyle w:val="Heading2"/>
      </w:pPr>
      <w:bookmarkStart w:id="24" w:name="_Toc169536374"/>
      <w:r>
        <w:t>Personnel</w:t>
      </w:r>
      <w:bookmarkEnd w:id="24"/>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Heading3"/>
      </w:pPr>
      <w:r>
        <w:t>E</w:t>
      </w:r>
      <w:r w:rsidR="00D81857" w:rsidRPr="0063749B">
        <w:t>xperts</w:t>
      </w:r>
    </w:p>
    <w:p w14:paraId="65C4D1BD" w14:textId="3235BBAF" w:rsidR="008B2A2C" w:rsidRDefault="00B84A09" w:rsidP="00336542">
      <w:pPr>
        <w:spacing w:after="0"/>
        <w:rPr>
          <w:rFonts w:ascii="Times New Roman" w:hAnsi="Times New Roman"/>
          <w:sz w:val="22"/>
          <w:szCs w:val="22"/>
          <w:lang w:eastAsia="en-IE"/>
        </w:rPr>
      </w:pPr>
      <w:r w:rsidRPr="00B84A09">
        <w:rPr>
          <w:rFonts w:ascii="Times New Roman" w:hAnsi="Times New Roman"/>
          <w:sz w:val="22"/>
          <w:szCs w:val="22"/>
          <w:lang w:eastAsia="en-IE"/>
        </w:rPr>
        <w:t>The contractor will ensure sufficient number of qualified experts for quality and timely implementation of tasks planned by these Terms of References. These experts are considered as non-key experts therefore their CVs are not examined prior to the signature of the contract and should not be included in the tender.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526DFE5E" w14:textId="77777777" w:rsidR="00B84A09" w:rsidRPr="009A57DF" w:rsidRDefault="00B84A09"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103815D6" w14:textId="3F3E9DE7"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8269FA">
      <w:pPr>
        <w:pStyle w:val="Heading2"/>
      </w:pPr>
      <w:bookmarkStart w:id="25" w:name="_Toc169536375"/>
      <w:r w:rsidRPr="0063749B">
        <w:lastRenderedPageBreak/>
        <w:t>Office accommodation</w:t>
      </w:r>
      <w:bookmarkEnd w:id="25"/>
    </w:p>
    <w:p w14:paraId="0BA79597" w14:textId="77777777" w:rsidR="00B84A09" w:rsidRPr="0063749B" w:rsidRDefault="00B84A09" w:rsidP="00B84A09">
      <w:pPr>
        <w:rPr>
          <w:rFonts w:ascii="Times New Roman" w:hAnsi="Times New Roman"/>
          <w:sz w:val="22"/>
          <w:szCs w:val="22"/>
        </w:rPr>
      </w:pPr>
      <w:r w:rsidRPr="00BE683C">
        <w:rPr>
          <w:rFonts w:ascii="Times New Roman" w:hAnsi="Times New Roman"/>
          <w:sz w:val="22"/>
          <w:szCs w:val="22"/>
        </w:rPr>
        <w:t>Office accommodation for each expert working on the contract is to be provided by the Contractor.</w:t>
      </w:r>
    </w:p>
    <w:p w14:paraId="0A515311" w14:textId="77777777" w:rsidR="00D81857" w:rsidRPr="0063749B" w:rsidRDefault="00D81857" w:rsidP="008269FA">
      <w:pPr>
        <w:pStyle w:val="Heading2"/>
      </w:pPr>
      <w:bookmarkStart w:id="26" w:name="_Toc169536376"/>
      <w:r w:rsidRPr="0063749B">
        <w:t xml:space="preserve">Facilities to be provided by the </w:t>
      </w:r>
      <w:r w:rsidR="00E21553">
        <w:t>c</w:t>
      </w:r>
      <w:r w:rsidR="00320C07">
        <w:t>ontractor</w:t>
      </w:r>
      <w:bookmarkEnd w:id="26"/>
    </w:p>
    <w:p w14:paraId="53835A13" w14:textId="77777777" w:rsidR="00B84A09"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8269FA">
      <w:pPr>
        <w:pStyle w:val="Heading2"/>
      </w:pPr>
      <w:bookmarkStart w:id="27" w:name="_Toc169536377"/>
      <w:r w:rsidRPr="0063749B">
        <w:t>Equipment</w:t>
      </w:r>
      <w:bookmarkEnd w:id="27"/>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8" w:name="_Toc169536378"/>
      <w:r w:rsidRPr="0063749B">
        <w:t>REPORTS</w:t>
      </w:r>
      <w:bookmarkEnd w:id="28"/>
    </w:p>
    <w:p w14:paraId="1884294E" w14:textId="77777777" w:rsidR="00D81857" w:rsidRPr="0063749B" w:rsidRDefault="00D81857" w:rsidP="008269FA">
      <w:pPr>
        <w:pStyle w:val="Heading2"/>
      </w:pPr>
      <w:bookmarkStart w:id="29" w:name="_Ref20555417"/>
      <w:bookmarkStart w:id="30" w:name="_Ref20656720"/>
      <w:bookmarkStart w:id="31" w:name="_Toc169536379"/>
      <w:r w:rsidRPr="0063749B">
        <w:t>Reporting requirements</w:t>
      </w:r>
      <w:bookmarkEnd w:id="29"/>
      <w:bookmarkEnd w:id="30"/>
      <w:bookmarkEnd w:id="31"/>
    </w:p>
    <w:p w14:paraId="2FD4160F" w14:textId="77777777" w:rsidR="00B84A09" w:rsidRDefault="00B84A09" w:rsidP="00B84A09">
      <w:pPr>
        <w:pStyle w:val="ListBullet"/>
        <w:numPr>
          <w:ilvl w:val="0"/>
          <w:numId w:val="0"/>
        </w:numPr>
        <w:ind w:left="283" w:hanging="283"/>
        <w:rPr>
          <w:sz w:val="22"/>
          <w:szCs w:val="22"/>
        </w:rPr>
      </w:pPr>
      <w:r w:rsidRPr="00B84A09">
        <w:rPr>
          <w:sz w:val="22"/>
          <w:szCs w:val="22"/>
          <w:lang w:eastAsia="en-GB"/>
        </w:rPr>
        <w:t>The contractor will submit the following reports in English language in one original and one copy:</w:t>
      </w:r>
    </w:p>
    <w:p w14:paraId="73E0AF56" w14:textId="6275EF98" w:rsidR="00697562" w:rsidRPr="007130D0" w:rsidRDefault="00780D1B" w:rsidP="00B84A09">
      <w:pPr>
        <w:pStyle w:val="ListBullet"/>
        <w:rPr>
          <w:sz w:val="22"/>
          <w:szCs w:val="22"/>
        </w:rPr>
      </w:pPr>
      <w:r w:rsidRPr="007130D0">
        <w:rPr>
          <w:b/>
          <w:bCs/>
          <w:sz w:val="22"/>
          <w:szCs w:val="22"/>
        </w:rPr>
        <w:t xml:space="preserve">Final report </w:t>
      </w:r>
      <w:r w:rsidRPr="007130D0">
        <w:rPr>
          <w:sz w:val="22"/>
          <w:szCs w:val="22"/>
        </w:rPr>
        <w:t xml:space="preserve">with the same specifications as the </w:t>
      </w:r>
      <w:r w:rsidR="00601667" w:rsidRPr="007130D0">
        <w:rPr>
          <w:sz w:val="22"/>
          <w:szCs w:val="22"/>
        </w:rPr>
        <w:t>draft final</w:t>
      </w:r>
      <w:r w:rsidR="00072591" w:rsidRPr="007130D0">
        <w:rPr>
          <w:sz w:val="22"/>
          <w:szCs w:val="22"/>
        </w:rPr>
        <w:t xml:space="preserve"> </w:t>
      </w:r>
      <w:r w:rsidRPr="007130D0">
        <w:rPr>
          <w:sz w:val="22"/>
          <w:szCs w:val="22"/>
        </w:rPr>
        <w:t xml:space="preserve">report, incorporating any comments received from the parties on the draft report. The </w:t>
      </w:r>
      <w:r w:rsidR="00423811" w:rsidRPr="007130D0">
        <w:rPr>
          <w:sz w:val="22"/>
          <w:szCs w:val="22"/>
        </w:rPr>
        <w:t xml:space="preserve">deadline for sending the </w:t>
      </w:r>
      <w:r w:rsidR="00697562" w:rsidRPr="007130D0">
        <w:rPr>
          <w:sz w:val="22"/>
          <w:szCs w:val="22"/>
        </w:rPr>
        <w:t xml:space="preserve">final report </w:t>
      </w:r>
      <w:r w:rsidR="00423811" w:rsidRPr="007130D0">
        <w:rPr>
          <w:sz w:val="22"/>
          <w:szCs w:val="22"/>
        </w:rPr>
        <w:t xml:space="preserve">is </w:t>
      </w:r>
      <w:r w:rsidR="00B84A09" w:rsidRPr="007130D0">
        <w:rPr>
          <w:sz w:val="22"/>
          <w:szCs w:val="22"/>
        </w:rPr>
        <w:t>5</w:t>
      </w:r>
      <w:r w:rsidRPr="007130D0">
        <w:rPr>
          <w:sz w:val="22"/>
          <w:szCs w:val="22"/>
        </w:rPr>
        <w:t xml:space="preserve"> days after rece</w:t>
      </w:r>
      <w:r w:rsidR="00423811" w:rsidRPr="007130D0">
        <w:rPr>
          <w:sz w:val="22"/>
          <w:szCs w:val="22"/>
        </w:rPr>
        <w:t>i</w:t>
      </w:r>
      <w:r w:rsidRPr="007130D0">
        <w:rPr>
          <w:sz w:val="22"/>
          <w:szCs w:val="22"/>
        </w:rPr>
        <w:t xml:space="preserve">pt of </w:t>
      </w:r>
      <w:r w:rsidR="00697562" w:rsidRPr="007130D0">
        <w:rPr>
          <w:sz w:val="22"/>
          <w:szCs w:val="22"/>
        </w:rPr>
        <w:t xml:space="preserve">comments on the </w:t>
      </w:r>
      <w:r w:rsidRPr="007130D0">
        <w:rPr>
          <w:sz w:val="22"/>
          <w:szCs w:val="22"/>
        </w:rPr>
        <w:t>draft</w:t>
      </w:r>
      <w:r w:rsidR="00697562" w:rsidRPr="007130D0">
        <w:rPr>
          <w:sz w:val="22"/>
          <w:szCs w:val="22"/>
        </w:rPr>
        <w:t xml:space="preserve"> final report</w:t>
      </w:r>
      <w:r w:rsidRPr="007130D0">
        <w:rPr>
          <w:sz w:val="22"/>
          <w:szCs w:val="22"/>
        </w:rPr>
        <w:t xml:space="preserve">. </w:t>
      </w:r>
      <w:r w:rsidR="00697562" w:rsidRPr="007130D0">
        <w:rPr>
          <w:sz w:val="22"/>
          <w:szCs w:val="22"/>
        </w:rPr>
        <w:t xml:space="preserve">The report shall contain </w:t>
      </w:r>
      <w:r w:rsidR="00B84A09" w:rsidRPr="007130D0">
        <w:rPr>
          <w:sz w:val="22"/>
          <w:szCs w:val="22"/>
        </w:rPr>
        <w:t xml:space="preserve">a sufficiently detailed description of the different options to support an informed decision on service provided. The detailed analyses underpinning the recommendations will be presented in annexes to the main report. The final report must be provided along with the corresponding invoice. </w:t>
      </w:r>
      <w:r w:rsidR="00155998" w:rsidRPr="007130D0">
        <w:rPr>
          <w:sz w:val="22"/>
          <w:szCs w:val="22"/>
        </w:rPr>
        <w:t xml:space="preserve"> </w:t>
      </w:r>
    </w:p>
    <w:p w14:paraId="351F2FD7" w14:textId="77777777" w:rsidR="00D81857" w:rsidRPr="0063749B" w:rsidRDefault="00D81857" w:rsidP="008269FA">
      <w:pPr>
        <w:pStyle w:val="Heading2"/>
      </w:pPr>
      <w:bookmarkStart w:id="32" w:name="_Toc169536380"/>
      <w:r w:rsidRPr="0063749B">
        <w:t xml:space="preserve">Submission </w:t>
      </w:r>
      <w:r w:rsidR="00423811">
        <w:t>and</w:t>
      </w:r>
      <w:r w:rsidRPr="0063749B">
        <w:t xml:space="preserve"> approval of reports</w:t>
      </w:r>
      <w:bookmarkEnd w:id="32"/>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3" w:name="_Toc169536381"/>
      <w:r w:rsidRPr="0063749B">
        <w:t>MONITORING AND EVALUATION</w:t>
      </w:r>
      <w:bookmarkEnd w:id="33"/>
    </w:p>
    <w:p w14:paraId="7DC6ECEF" w14:textId="77777777" w:rsidR="00D81857" w:rsidRPr="0063749B" w:rsidRDefault="00D81857" w:rsidP="008269FA">
      <w:pPr>
        <w:pStyle w:val="Heading2"/>
      </w:pPr>
      <w:bookmarkStart w:id="34" w:name="_Toc169536382"/>
      <w:r w:rsidRPr="0063749B">
        <w:t>Definition of indicators</w:t>
      </w:r>
      <w:bookmarkEnd w:id="34"/>
    </w:p>
    <w:p w14:paraId="6A269F07" w14:textId="77777777" w:rsidR="00B84A09" w:rsidRPr="0063749B" w:rsidRDefault="00B84A09" w:rsidP="00B84A09">
      <w:pPr>
        <w:rPr>
          <w:rFonts w:ascii="Times New Roman" w:hAnsi="Times New Roman"/>
          <w:sz w:val="22"/>
          <w:szCs w:val="22"/>
        </w:rPr>
      </w:pPr>
      <w:r w:rsidRPr="00144CFE">
        <w:rPr>
          <w:rFonts w:ascii="Times New Roman" w:hAnsi="Times New Roman"/>
          <w:sz w:val="22"/>
          <w:szCs w:val="22"/>
        </w:rPr>
        <w:t>The indicator of the successful implementation of the contract is Services provided in timely, quality and quantity manor, as required in these Terms of Reference.</w:t>
      </w:r>
      <w:r>
        <w:rPr>
          <w:rFonts w:ascii="Times New Roman" w:hAnsi="Times New Roman"/>
          <w:sz w:val="22"/>
          <w:szCs w:val="22"/>
        </w:rPr>
        <w:t xml:space="preserve"> </w:t>
      </w:r>
    </w:p>
    <w:p w14:paraId="6BA2BE37" w14:textId="77777777" w:rsidR="00D81857" w:rsidRPr="0063749B" w:rsidRDefault="00D81857" w:rsidP="008269FA">
      <w:pPr>
        <w:pStyle w:val="Heading2"/>
      </w:pPr>
      <w:bookmarkStart w:id="35" w:name="_Toc169536383"/>
      <w:r w:rsidRPr="0063749B">
        <w:t>Special requirements</w:t>
      </w:r>
      <w:bookmarkEnd w:id="35"/>
    </w:p>
    <w:p w14:paraId="5D6845E8" w14:textId="7877393E" w:rsidR="00D24461" w:rsidRDefault="00B84A09" w:rsidP="008D141B">
      <w:pPr>
        <w:rPr>
          <w:rFonts w:ascii="Times New Roman" w:hAnsi="Times New Roman"/>
          <w:sz w:val="22"/>
          <w:szCs w:val="22"/>
        </w:rPr>
      </w:pPr>
      <w:r>
        <w:rPr>
          <w:rFonts w:ascii="Times New Roman" w:hAnsi="Times New Roman"/>
          <w:sz w:val="22"/>
          <w:szCs w:val="22"/>
        </w:rPr>
        <w:t>N/A</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1F9BA" w14:textId="77777777" w:rsidR="0072203A" w:rsidRDefault="0072203A">
      <w:r>
        <w:separator/>
      </w:r>
    </w:p>
  </w:endnote>
  <w:endnote w:type="continuationSeparator" w:id="0">
    <w:p w14:paraId="564FCED9" w14:textId="77777777" w:rsidR="0072203A" w:rsidRDefault="00722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B7B9C" w14:textId="77777777" w:rsidR="00645E11" w:rsidRDefault="006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A67DD" w14:textId="77777777" w:rsidR="0072203A" w:rsidRDefault="0072203A">
      <w:r>
        <w:separator/>
      </w:r>
    </w:p>
  </w:footnote>
  <w:footnote w:type="continuationSeparator" w:id="0">
    <w:p w14:paraId="65EA1E11" w14:textId="77777777" w:rsidR="0072203A" w:rsidRDefault="00722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44627" w14:textId="77777777" w:rsidR="00645E11" w:rsidRDefault="006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201F" w14:textId="77777777" w:rsidR="00645E11" w:rsidRDefault="0064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102BE"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FA80B66"/>
    <w:multiLevelType w:val="hybridMultilevel"/>
    <w:tmpl w:val="8C843A30"/>
    <w:lvl w:ilvl="0" w:tplc="15CA66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9D930C1"/>
    <w:multiLevelType w:val="hybridMultilevel"/>
    <w:tmpl w:val="EC9E1C7C"/>
    <w:lvl w:ilvl="0" w:tplc="BCA80870">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71F4E7D"/>
    <w:multiLevelType w:val="hybridMultilevel"/>
    <w:tmpl w:val="CFA2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F829DF"/>
    <w:multiLevelType w:val="multilevel"/>
    <w:tmpl w:val="15D28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9"/>
  </w:num>
  <w:num w:numId="4">
    <w:abstractNumId w:val="10"/>
    <w:lvlOverride w:ilvl="0">
      <w:startOverride w:val="1"/>
    </w:lvlOverride>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num>
  <w:num w:numId="11">
    <w:abstractNumId w:val="4"/>
  </w:num>
  <w:num w:numId="12">
    <w:abstractNumId w:val="9"/>
  </w:num>
  <w:num w:numId="13">
    <w:abstractNumId w:val="16"/>
  </w:num>
  <w:num w:numId="14">
    <w:abstractNumId w:val="20"/>
  </w:num>
  <w:num w:numId="15">
    <w:abstractNumId w:val="7"/>
  </w:num>
  <w:num w:numId="16">
    <w:abstractNumId w:val="15"/>
  </w:num>
  <w:num w:numId="17">
    <w:abstractNumId w:val="14"/>
  </w:num>
  <w:num w:numId="18">
    <w:abstractNumId w:val="11"/>
  </w:num>
  <w:num w:numId="19">
    <w:abstractNumId w:val="12"/>
  </w:num>
  <w:num w:numId="20">
    <w:abstractNumId w:val="3"/>
  </w:num>
  <w:num w:numId="21">
    <w:abstractNumId w:val="8"/>
  </w:num>
  <w:num w:numId="22">
    <w:abstractNumId w:val="2"/>
  </w:num>
  <w:num w:numId="23">
    <w:abstractNumId w:val="5"/>
  </w:num>
  <w:num w:numId="24">
    <w:abstractNumId w:val="21"/>
  </w:num>
  <w:num w:numId="25">
    <w:abstractNumId w:val="13"/>
  </w:num>
  <w:num w:numId="26">
    <w:abstractNumId w:val="10"/>
  </w:num>
  <w:num w:numId="27">
    <w:abstractNumId w:val="18"/>
  </w:num>
  <w:num w:numId="28">
    <w:abstractNumId w:val="6"/>
  </w:num>
  <w:num w:numId="29">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3A1"/>
    <w:rsid w:val="00093D70"/>
    <w:rsid w:val="000A1135"/>
    <w:rsid w:val="000A6396"/>
    <w:rsid w:val="000B6100"/>
    <w:rsid w:val="000C5995"/>
    <w:rsid w:val="000C6289"/>
    <w:rsid w:val="000D573C"/>
    <w:rsid w:val="000F10BF"/>
    <w:rsid w:val="000F16A9"/>
    <w:rsid w:val="00100201"/>
    <w:rsid w:val="0010219F"/>
    <w:rsid w:val="0011312C"/>
    <w:rsid w:val="00114181"/>
    <w:rsid w:val="00115301"/>
    <w:rsid w:val="00126E6A"/>
    <w:rsid w:val="0013060C"/>
    <w:rsid w:val="00132C55"/>
    <w:rsid w:val="00134B0C"/>
    <w:rsid w:val="001354E7"/>
    <w:rsid w:val="00135B4D"/>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5A6"/>
    <w:rsid w:val="001D07DD"/>
    <w:rsid w:val="001D0B84"/>
    <w:rsid w:val="001E3034"/>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95C99"/>
    <w:rsid w:val="002C0329"/>
    <w:rsid w:val="002D5D21"/>
    <w:rsid w:val="002D648A"/>
    <w:rsid w:val="002D7174"/>
    <w:rsid w:val="002E468E"/>
    <w:rsid w:val="002E6B75"/>
    <w:rsid w:val="002F1AF6"/>
    <w:rsid w:val="00310A00"/>
    <w:rsid w:val="00312C82"/>
    <w:rsid w:val="0031613E"/>
    <w:rsid w:val="00320C07"/>
    <w:rsid w:val="00323913"/>
    <w:rsid w:val="00336542"/>
    <w:rsid w:val="003421DB"/>
    <w:rsid w:val="00347915"/>
    <w:rsid w:val="00350D87"/>
    <w:rsid w:val="00356091"/>
    <w:rsid w:val="00363709"/>
    <w:rsid w:val="00364DE6"/>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2178E"/>
    <w:rsid w:val="00423811"/>
    <w:rsid w:val="00423F47"/>
    <w:rsid w:val="004250F9"/>
    <w:rsid w:val="00431AEC"/>
    <w:rsid w:val="00444297"/>
    <w:rsid w:val="004450A7"/>
    <w:rsid w:val="00450070"/>
    <w:rsid w:val="00453705"/>
    <w:rsid w:val="0047055D"/>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1DAB"/>
    <w:rsid w:val="00564168"/>
    <w:rsid w:val="00570CF3"/>
    <w:rsid w:val="005837BC"/>
    <w:rsid w:val="005935F3"/>
    <w:rsid w:val="00596882"/>
    <w:rsid w:val="00597EEA"/>
    <w:rsid w:val="005A36D9"/>
    <w:rsid w:val="005A41BF"/>
    <w:rsid w:val="005B55B9"/>
    <w:rsid w:val="005C091D"/>
    <w:rsid w:val="005C6CC2"/>
    <w:rsid w:val="005D5086"/>
    <w:rsid w:val="005D5805"/>
    <w:rsid w:val="005D6656"/>
    <w:rsid w:val="005E3F3D"/>
    <w:rsid w:val="005E5BE5"/>
    <w:rsid w:val="005F05F8"/>
    <w:rsid w:val="005F537F"/>
    <w:rsid w:val="00601667"/>
    <w:rsid w:val="0061269A"/>
    <w:rsid w:val="006210A8"/>
    <w:rsid w:val="00624787"/>
    <w:rsid w:val="00626398"/>
    <w:rsid w:val="00631124"/>
    <w:rsid w:val="0063749B"/>
    <w:rsid w:val="00640BF3"/>
    <w:rsid w:val="00645479"/>
    <w:rsid w:val="00645E11"/>
    <w:rsid w:val="006460D9"/>
    <w:rsid w:val="006470EB"/>
    <w:rsid w:val="006471D6"/>
    <w:rsid w:val="00650DD4"/>
    <w:rsid w:val="00653516"/>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43C4"/>
    <w:rsid w:val="006B5706"/>
    <w:rsid w:val="006C04CF"/>
    <w:rsid w:val="006C0746"/>
    <w:rsid w:val="006D6D6B"/>
    <w:rsid w:val="006F38F6"/>
    <w:rsid w:val="006F4B90"/>
    <w:rsid w:val="006F607A"/>
    <w:rsid w:val="007019D8"/>
    <w:rsid w:val="0070275A"/>
    <w:rsid w:val="007130D0"/>
    <w:rsid w:val="0072203A"/>
    <w:rsid w:val="00727260"/>
    <w:rsid w:val="007327E9"/>
    <w:rsid w:val="007356A3"/>
    <w:rsid w:val="00742068"/>
    <w:rsid w:val="00780D1B"/>
    <w:rsid w:val="00781734"/>
    <w:rsid w:val="0078273C"/>
    <w:rsid w:val="00783891"/>
    <w:rsid w:val="0079433E"/>
    <w:rsid w:val="007A5600"/>
    <w:rsid w:val="007A6A64"/>
    <w:rsid w:val="007A6EDD"/>
    <w:rsid w:val="007C05EF"/>
    <w:rsid w:val="007C3B8C"/>
    <w:rsid w:val="007E157C"/>
    <w:rsid w:val="007E21BD"/>
    <w:rsid w:val="007F0504"/>
    <w:rsid w:val="007F5547"/>
    <w:rsid w:val="007F738F"/>
    <w:rsid w:val="00802406"/>
    <w:rsid w:val="00816B6E"/>
    <w:rsid w:val="00817AAA"/>
    <w:rsid w:val="008269FA"/>
    <w:rsid w:val="00851DA8"/>
    <w:rsid w:val="008538A6"/>
    <w:rsid w:val="008553BA"/>
    <w:rsid w:val="00856D51"/>
    <w:rsid w:val="00856E3D"/>
    <w:rsid w:val="0085723F"/>
    <w:rsid w:val="008577AB"/>
    <w:rsid w:val="00857B84"/>
    <w:rsid w:val="00861BB8"/>
    <w:rsid w:val="00862E3E"/>
    <w:rsid w:val="008679C7"/>
    <w:rsid w:val="008751C4"/>
    <w:rsid w:val="00875B1B"/>
    <w:rsid w:val="0088268D"/>
    <w:rsid w:val="008874F5"/>
    <w:rsid w:val="008951C0"/>
    <w:rsid w:val="008A0C9A"/>
    <w:rsid w:val="008A13C7"/>
    <w:rsid w:val="008A65FE"/>
    <w:rsid w:val="008B1068"/>
    <w:rsid w:val="008B2A2C"/>
    <w:rsid w:val="008B56F9"/>
    <w:rsid w:val="008C77AE"/>
    <w:rsid w:val="008D141B"/>
    <w:rsid w:val="008E412E"/>
    <w:rsid w:val="008E4DA9"/>
    <w:rsid w:val="008F30D2"/>
    <w:rsid w:val="008F6138"/>
    <w:rsid w:val="0090796E"/>
    <w:rsid w:val="00912E58"/>
    <w:rsid w:val="009144FC"/>
    <w:rsid w:val="00915153"/>
    <w:rsid w:val="0092494C"/>
    <w:rsid w:val="00924F0C"/>
    <w:rsid w:val="00927CEC"/>
    <w:rsid w:val="00931940"/>
    <w:rsid w:val="009344C1"/>
    <w:rsid w:val="00935F4D"/>
    <w:rsid w:val="00942AD6"/>
    <w:rsid w:val="009454EE"/>
    <w:rsid w:val="009463C5"/>
    <w:rsid w:val="00954155"/>
    <w:rsid w:val="00983970"/>
    <w:rsid w:val="00987D01"/>
    <w:rsid w:val="00994CA3"/>
    <w:rsid w:val="00994CD7"/>
    <w:rsid w:val="00995D0E"/>
    <w:rsid w:val="00996BDD"/>
    <w:rsid w:val="009A09D3"/>
    <w:rsid w:val="009A2B96"/>
    <w:rsid w:val="009A3473"/>
    <w:rsid w:val="009A45FA"/>
    <w:rsid w:val="009A477C"/>
    <w:rsid w:val="009A57DF"/>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4E4C"/>
    <w:rsid w:val="00A35674"/>
    <w:rsid w:val="00A4001B"/>
    <w:rsid w:val="00A43C20"/>
    <w:rsid w:val="00A512CA"/>
    <w:rsid w:val="00A60E57"/>
    <w:rsid w:val="00A62D55"/>
    <w:rsid w:val="00A67C5E"/>
    <w:rsid w:val="00A74230"/>
    <w:rsid w:val="00A76CC7"/>
    <w:rsid w:val="00A90731"/>
    <w:rsid w:val="00A90C96"/>
    <w:rsid w:val="00A91D5F"/>
    <w:rsid w:val="00A96CA5"/>
    <w:rsid w:val="00AA1AB2"/>
    <w:rsid w:val="00AA4AA5"/>
    <w:rsid w:val="00AB722F"/>
    <w:rsid w:val="00AD50D5"/>
    <w:rsid w:val="00AE124B"/>
    <w:rsid w:val="00AE72EC"/>
    <w:rsid w:val="00AF0F13"/>
    <w:rsid w:val="00B00B32"/>
    <w:rsid w:val="00B14237"/>
    <w:rsid w:val="00B14A99"/>
    <w:rsid w:val="00B221C9"/>
    <w:rsid w:val="00B32257"/>
    <w:rsid w:val="00B3286E"/>
    <w:rsid w:val="00B3682C"/>
    <w:rsid w:val="00B403DB"/>
    <w:rsid w:val="00B43090"/>
    <w:rsid w:val="00B65A65"/>
    <w:rsid w:val="00B66F93"/>
    <w:rsid w:val="00B733DB"/>
    <w:rsid w:val="00B753C6"/>
    <w:rsid w:val="00B84A09"/>
    <w:rsid w:val="00B8743C"/>
    <w:rsid w:val="00B87B0D"/>
    <w:rsid w:val="00B902C8"/>
    <w:rsid w:val="00B95C15"/>
    <w:rsid w:val="00B96483"/>
    <w:rsid w:val="00BA3339"/>
    <w:rsid w:val="00BA3DA0"/>
    <w:rsid w:val="00BA7A6C"/>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E142E"/>
    <w:rsid w:val="00CE3F9D"/>
    <w:rsid w:val="00CE4BEE"/>
    <w:rsid w:val="00CF0605"/>
    <w:rsid w:val="00CF0F68"/>
    <w:rsid w:val="00CF36D4"/>
    <w:rsid w:val="00CF56DC"/>
    <w:rsid w:val="00D178FE"/>
    <w:rsid w:val="00D204BF"/>
    <w:rsid w:val="00D21577"/>
    <w:rsid w:val="00D24461"/>
    <w:rsid w:val="00D270E4"/>
    <w:rsid w:val="00D33CE5"/>
    <w:rsid w:val="00D3611A"/>
    <w:rsid w:val="00D409BB"/>
    <w:rsid w:val="00D46813"/>
    <w:rsid w:val="00D520D0"/>
    <w:rsid w:val="00D54637"/>
    <w:rsid w:val="00D54BEA"/>
    <w:rsid w:val="00D553DB"/>
    <w:rsid w:val="00D611BE"/>
    <w:rsid w:val="00D70E8B"/>
    <w:rsid w:val="00D747BE"/>
    <w:rsid w:val="00D81857"/>
    <w:rsid w:val="00D84216"/>
    <w:rsid w:val="00D87986"/>
    <w:rsid w:val="00D92984"/>
    <w:rsid w:val="00D96F58"/>
    <w:rsid w:val="00DA1001"/>
    <w:rsid w:val="00DA13D2"/>
    <w:rsid w:val="00DB3138"/>
    <w:rsid w:val="00DB5909"/>
    <w:rsid w:val="00DC7B2A"/>
    <w:rsid w:val="00DD2BD9"/>
    <w:rsid w:val="00DD6C05"/>
    <w:rsid w:val="00DE1349"/>
    <w:rsid w:val="00DF4DAC"/>
    <w:rsid w:val="00DF6ED6"/>
    <w:rsid w:val="00E0445B"/>
    <w:rsid w:val="00E07358"/>
    <w:rsid w:val="00E13140"/>
    <w:rsid w:val="00E21553"/>
    <w:rsid w:val="00E304C2"/>
    <w:rsid w:val="00E363BD"/>
    <w:rsid w:val="00E46ECB"/>
    <w:rsid w:val="00E46FCA"/>
    <w:rsid w:val="00E53A98"/>
    <w:rsid w:val="00E67EE2"/>
    <w:rsid w:val="00E81F04"/>
    <w:rsid w:val="00E840DF"/>
    <w:rsid w:val="00EA01F9"/>
    <w:rsid w:val="00EB3640"/>
    <w:rsid w:val="00EB7C4B"/>
    <w:rsid w:val="00EC428E"/>
    <w:rsid w:val="00EC5200"/>
    <w:rsid w:val="00EC64BA"/>
    <w:rsid w:val="00ED0BAB"/>
    <w:rsid w:val="00ED173C"/>
    <w:rsid w:val="00ED2262"/>
    <w:rsid w:val="00ED2F2E"/>
    <w:rsid w:val="00EE1120"/>
    <w:rsid w:val="00EE4C46"/>
    <w:rsid w:val="00EF3853"/>
    <w:rsid w:val="00EF4491"/>
    <w:rsid w:val="00EF5726"/>
    <w:rsid w:val="00F02AA0"/>
    <w:rsid w:val="00F02D4A"/>
    <w:rsid w:val="00F063F5"/>
    <w:rsid w:val="00F07AAD"/>
    <w:rsid w:val="00F10760"/>
    <w:rsid w:val="00F13D92"/>
    <w:rsid w:val="00F169D8"/>
    <w:rsid w:val="00F173DE"/>
    <w:rsid w:val="00F24445"/>
    <w:rsid w:val="00F24DAB"/>
    <w:rsid w:val="00F3380F"/>
    <w:rsid w:val="00F4503E"/>
    <w:rsid w:val="00F4543B"/>
    <w:rsid w:val="00F64F38"/>
    <w:rsid w:val="00F75031"/>
    <w:rsid w:val="00F800FB"/>
    <w:rsid w:val="00F81B6D"/>
    <w:rsid w:val="00F84783"/>
    <w:rsid w:val="00F9674B"/>
    <w:rsid w:val="00FA34D0"/>
    <w:rsid w:val="00FB324B"/>
    <w:rsid w:val="00FB4BCC"/>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155"/>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985619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REP.DOTM</Template>
  <TotalTime>6</TotalTime>
  <Pages>9</Pages>
  <Words>4029</Words>
  <Characters>22970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26946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Branko Brkovic</cp:lastModifiedBy>
  <cp:revision>4</cp:revision>
  <cp:lastPrinted>2012-09-26T09:25:00Z</cp:lastPrinted>
  <dcterms:created xsi:type="dcterms:W3CDTF">2025-10-27T12:44:00Z</dcterms:created>
  <dcterms:modified xsi:type="dcterms:W3CDTF">2025-10-29T07:10:00Z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